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98555" w14:textId="77777777" w:rsidR="00CB2BCC" w:rsidRDefault="00CB2BCC" w:rsidP="005F2126">
      <w:pPr>
        <w:jc w:val="center"/>
        <w:rPr>
          <w:rFonts w:cs="Arial"/>
          <w:b/>
          <w:szCs w:val="22"/>
          <w:u w:val="single"/>
        </w:rPr>
      </w:pPr>
    </w:p>
    <w:p w14:paraId="1CC98556" w14:textId="77777777" w:rsidR="00CB2BCC" w:rsidRPr="00570BC8" w:rsidRDefault="00CB2BCC" w:rsidP="00494DA6">
      <w:pPr>
        <w:spacing w:after="120"/>
        <w:jc w:val="center"/>
        <w:rPr>
          <w:rFonts w:cs="Arial"/>
          <w:b/>
          <w:szCs w:val="22"/>
          <w:u w:val="single"/>
        </w:rPr>
      </w:pPr>
      <w:r>
        <w:rPr>
          <w:rFonts w:cs="Arial"/>
          <w:b/>
          <w:szCs w:val="22"/>
          <w:u w:val="single"/>
        </w:rPr>
        <w:t xml:space="preserve"> ANEXO I - </w:t>
      </w:r>
      <w:r w:rsidRPr="00570BC8">
        <w:rPr>
          <w:rFonts w:cs="Arial"/>
          <w:b/>
          <w:szCs w:val="22"/>
          <w:u w:val="single"/>
        </w:rPr>
        <w:t>APÊNDICE B</w:t>
      </w:r>
    </w:p>
    <w:p w14:paraId="1CC98557" w14:textId="77777777" w:rsidR="00CB2BCC" w:rsidRPr="00494DA6" w:rsidRDefault="00CB2BCC" w:rsidP="00494DA6">
      <w:pPr>
        <w:spacing w:after="120"/>
        <w:jc w:val="center"/>
        <w:rPr>
          <w:rFonts w:cs="Arial"/>
          <w:b/>
          <w:szCs w:val="22"/>
          <w:u w:val="single"/>
        </w:rPr>
      </w:pPr>
      <w:r w:rsidRPr="00494DA6">
        <w:rPr>
          <w:rFonts w:cs="Arial"/>
          <w:b/>
          <w:szCs w:val="22"/>
          <w:u w:val="single"/>
        </w:rPr>
        <w:t xml:space="preserve">SERVIÇOS ESPECIAIS PERMITIDA </w:t>
      </w:r>
      <w:r>
        <w:rPr>
          <w:rFonts w:cs="Arial"/>
          <w:b/>
          <w:szCs w:val="22"/>
          <w:u w:val="single"/>
        </w:rPr>
        <w:t xml:space="preserve">A </w:t>
      </w:r>
      <w:r w:rsidRPr="00494DA6">
        <w:rPr>
          <w:rFonts w:cs="Arial"/>
          <w:b/>
          <w:szCs w:val="22"/>
          <w:u w:val="single"/>
        </w:rPr>
        <w:t xml:space="preserve">SUBCONTRATAÇÃO </w:t>
      </w:r>
    </w:p>
    <w:p w14:paraId="1CC98558" w14:textId="77777777" w:rsidR="00CB2BCC" w:rsidRPr="00570BC8" w:rsidRDefault="00CB2BCC" w:rsidP="004B00FD">
      <w:pPr>
        <w:jc w:val="center"/>
        <w:rPr>
          <w:rFonts w:cs="Arial"/>
          <w:b/>
          <w:szCs w:val="22"/>
        </w:rPr>
      </w:pPr>
    </w:p>
    <w:p w14:paraId="1CC98559" w14:textId="77777777" w:rsidR="00CB2BCC" w:rsidRPr="00C95452" w:rsidRDefault="00CB2BCC" w:rsidP="00367DEB">
      <w:pPr>
        <w:jc w:val="left"/>
        <w:rPr>
          <w:rFonts w:cs="Arial"/>
          <w:b/>
          <w:szCs w:val="22"/>
        </w:rPr>
      </w:pPr>
    </w:p>
    <w:p w14:paraId="1CC9855A" w14:textId="77777777" w:rsidR="00CB2BCC" w:rsidRDefault="00CB2BCC">
      <w:pPr>
        <w:pStyle w:val="Sumrio1"/>
        <w:rPr>
          <w:rFonts w:ascii="Times New Roman" w:hAnsi="Times New Roman"/>
          <w:noProof/>
          <w:sz w:val="24"/>
          <w:szCs w:val="24"/>
        </w:rPr>
      </w:pPr>
      <w:r w:rsidRPr="00BA5EA9">
        <w:rPr>
          <w:rFonts w:ascii="Arial" w:hAnsi="Arial" w:cs="Arial"/>
        </w:rPr>
        <w:fldChar w:fldCharType="begin"/>
      </w:r>
      <w:r w:rsidRPr="00BA5EA9">
        <w:rPr>
          <w:rFonts w:ascii="Arial" w:hAnsi="Arial" w:cs="Arial"/>
        </w:rPr>
        <w:instrText xml:space="preserve"> TOC \h \z \t "Estilo nivel 1 + Arial 11 pt Negrito Justificado;1;Estilo nivel 1 + 11 pt Negrito;1;Estilo nivel 1 + 11 pt Negrito À esquerda Antes:  6 pt Depois de...;1" </w:instrText>
      </w:r>
      <w:r w:rsidRPr="00BA5EA9">
        <w:rPr>
          <w:rFonts w:ascii="Arial" w:hAnsi="Arial" w:cs="Arial"/>
        </w:rPr>
        <w:fldChar w:fldCharType="separate"/>
      </w:r>
      <w:hyperlink w:anchor="_Toc476825325" w:history="1">
        <w:r w:rsidRPr="00AB3EF9">
          <w:rPr>
            <w:rStyle w:val="Hyperlink"/>
            <w:noProof/>
          </w:rPr>
          <w:t>1</w:t>
        </w:r>
        <w:r>
          <w:rPr>
            <w:rFonts w:ascii="Times New Roman" w:hAnsi="Times New Roman"/>
            <w:noProof/>
            <w:sz w:val="24"/>
            <w:szCs w:val="24"/>
          </w:rPr>
          <w:tab/>
        </w:r>
        <w:r w:rsidRPr="00AB3EF9">
          <w:rPr>
            <w:rStyle w:val="Hyperlink"/>
            <w:noProof/>
          </w:rPr>
          <w:t>INTRODUÇÃO</w:t>
        </w:r>
        <w:r>
          <w:rPr>
            <w:noProof/>
            <w:webHidden/>
          </w:rPr>
          <w:tab/>
        </w:r>
        <w:r>
          <w:rPr>
            <w:noProof/>
            <w:webHidden/>
          </w:rPr>
          <w:fldChar w:fldCharType="begin"/>
        </w:r>
        <w:r>
          <w:rPr>
            <w:noProof/>
            <w:webHidden/>
          </w:rPr>
          <w:instrText xml:space="preserve"> PAGEREF _Toc476825325 \h </w:instrText>
        </w:r>
        <w:r>
          <w:rPr>
            <w:noProof/>
            <w:webHidden/>
          </w:rPr>
        </w:r>
        <w:r>
          <w:rPr>
            <w:noProof/>
            <w:webHidden/>
          </w:rPr>
          <w:fldChar w:fldCharType="separate"/>
        </w:r>
        <w:r>
          <w:rPr>
            <w:noProof/>
            <w:webHidden/>
          </w:rPr>
          <w:t>2</w:t>
        </w:r>
        <w:r>
          <w:rPr>
            <w:noProof/>
            <w:webHidden/>
          </w:rPr>
          <w:fldChar w:fldCharType="end"/>
        </w:r>
      </w:hyperlink>
    </w:p>
    <w:p w14:paraId="1CC9855B" w14:textId="77777777" w:rsidR="00CB2BCC" w:rsidRDefault="00E679BE">
      <w:pPr>
        <w:pStyle w:val="Sumrio1"/>
        <w:rPr>
          <w:rFonts w:ascii="Times New Roman" w:hAnsi="Times New Roman"/>
          <w:noProof/>
          <w:sz w:val="24"/>
          <w:szCs w:val="24"/>
        </w:rPr>
      </w:pPr>
      <w:hyperlink w:anchor="_Toc476825326" w:history="1">
        <w:r w:rsidR="00CB2BCC" w:rsidRPr="00AB3EF9">
          <w:rPr>
            <w:rStyle w:val="Hyperlink"/>
            <w:noProof/>
          </w:rPr>
          <w:t>2</w:t>
        </w:r>
        <w:r w:rsidR="00CB2BCC">
          <w:rPr>
            <w:rFonts w:ascii="Times New Roman" w:hAnsi="Times New Roman"/>
            <w:noProof/>
            <w:sz w:val="24"/>
            <w:szCs w:val="24"/>
          </w:rPr>
          <w:tab/>
        </w:r>
        <w:r w:rsidR="00CB2BCC" w:rsidRPr="00AB3EF9">
          <w:rPr>
            <w:rStyle w:val="Hyperlink"/>
            <w:noProof/>
          </w:rPr>
          <w:t>PLANEJAMENTO DE EXECUÇÃO DE SERVIÇOS</w:t>
        </w:r>
        <w:r w:rsidR="00CB2BCC">
          <w:rPr>
            <w:noProof/>
            <w:webHidden/>
          </w:rPr>
          <w:tab/>
        </w:r>
        <w:r w:rsidR="00CB2BCC">
          <w:rPr>
            <w:noProof/>
            <w:webHidden/>
          </w:rPr>
          <w:fldChar w:fldCharType="begin"/>
        </w:r>
        <w:r w:rsidR="00CB2BCC">
          <w:rPr>
            <w:noProof/>
            <w:webHidden/>
          </w:rPr>
          <w:instrText xml:space="preserve"> PAGEREF _Toc476825326 \h </w:instrText>
        </w:r>
        <w:r w:rsidR="00CB2BCC">
          <w:rPr>
            <w:noProof/>
            <w:webHidden/>
          </w:rPr>
        </w:r>
        <w:r w:rsidR="00CB2BCC">
          <w:rPr>
            <w:noProof/>
            <w:webHidden/>
          </w:rPr>
          <w:fldChar w:fldCharType="separate"/>
        </w:r>
        <w:r w:rsidR="00CB2BCC">
          <w:rPr>
            <w:noProof/>
            <w:webHidden/>
          </w:rPr>
          <w:t>2</w:t>
        </w:r>
        <w:r w:rsidR="00CB2BCC">
          <w:rPr>
            <w:noProof/>
            <w:webHidden/>
          </w:rPr>
          <w:fldChar w:fldCharType="end"/>
        </w:r>
      </w:hyperlink>
    </w:p>
    <w:p w14:paraId="1CC9855C" w14:textId="77777777" w:rsidR="00CB2BCC" w:rsidRDefault="00E679BE">
      <w:pPr>
        <w:pStyle w:val="Sumrio1"/>
        <w:rPr>
          <w:rFonts w:ascii="Times New Roman" w:hAnsi="Times New Roman"/>
          <w:noProof/>
          <w:sz w:val="24"/>
          <w:szCs w:val="24"/>
        </w:rPr>
      </w:pPr>
      <w:hyperlink w:anchor="_Toc476825327" w:history="1">
        <w:r w:rsidR="00CB2BCC" w:rsidRPr="00AB3EF9">
          <w:rPr>
            <w:rStyle w:val="Hyperlink"/>
            <w:noProof/>
          </w:rPr>
          <w:t>3</w:t>
        </w:r>
        <w:r w:rsidR="00CB2BCC">
          <w:rPr>
            <w:rFonts w:ascii="Times New Roman" w:hAnsi="Times New Roman"/>
            <w:noProof/>
            <w:sz w:val="24"/>
            <w:szCs w:val="24"/>
          </w:rPr>
          <w:tab/>
        </w:r>
        <w:r w:rsidR="00CB2BCC" w:rsidRPr="00AB3EF9">
          <w:rPr>
            <w:rStyle w:val="Hyperlink"/>
            <w:noProof/>
          </w:rPr>
          <w:t>ANÁLISE DA QUALIDADE DO AR INTERIOR</w:t>
        </w:r>
        <w:r w:rsidR="00CB2BCC">
          <w:rPr>
            <w:noProof/>
            <w:webHidden/>
          </w:rPr>
          <w:tab/>
        </w:r>
        <w:r w:rsidR="00CB2BCC">
          <w:rPr>
            <w:noProof/>
            <w:webHidden/>
          </w:rPr>
          <w:fldChar w:fldCharType="begin"/>
        </w:r>
        <w:r w:rsidR="00CB2BCC">
          <w:rPr>
            <w:noProof/>
            <w:webHidden/>
          </w:rPr>
          <w:instrText xml:space="preserve"> PAGEREF _Toc476825327 \h </w:instrText>
        </w:r>
        <w:r w:rsidR="00CB2BCC">
          <w:rPr>
            <w:noProof/>
            <w:webHidden/>
          </w:rPr>
        </w:r>
        <w:r w:rsidR="00CB2BCC">
          <w:rPr>
            <w:noProof/>
            <w:webHidden/>
          </w:rPr>
          <w:fldChar w:fldCharType="separate"/>
        </w:r>
        <w:r w:rsidR="00CB2BCC">
          <w:rPr>
            <w:noProof/>
            <w:webHidden/>
          </w:rPr>
          <w:t>3</w:t>
        </w:r>
        <w:r w:rsidR="00CB2BCC">
          <w:rPr>
            <w:noProof/>
            <w:webHidden/>
          </w:rPr>
          <w:fldChar w:fldCharType="end"/>
        </w:r>
      </w:hyperlink>
    </w:p>
    <w:p w14:paraId="1CC9855D" w14:textId="77777777" w:rsidR="00CB2BCC" w:rsidRDefault="00E679BE">
      <w:pPr>
        <w:pStyle w:val="Sumrio1"/>
        <w:rPr>
          <w:rFonts w:ascii="Times New Roman" w:hAnsi="Times New Roman"/>
          <w:noProof/>
          <w:sz w:val="24"/>
          <w:szCs w:val="24"/>
        </w:rPr>
      </w:pPr>
      <w:hyperlink w:anchor="_Toc476825328" w:history="1">
        <w:r w:rsidR="00CB2BCC" w:rsidRPr="00AB3EF9">
          <w:rPr>
            <w:rStyle w:val="Hyperlink"/>
            <w:noProof/>
          </w:rPr>
          <w:t>4</w:t>
        </w:r>
        <w:r w:rsidR="00CB2BCC">
          <w:rPr>
            <w:rFonts w:ascii="Times New Roman" w:hAnsi="Times New Roman"/>
            <w:noProof/>
            <w:sz w:val="24"/>
            <w:szCs w:val="24"/>
          </w:rPr>
          <w:tab/>
        </w:r>
        <w:r w:rsidR="00CB2BCC" w:rsidRPr="00AB3EF9">
          <w:rPr>
            <w:rStyle w:val="Hyperlink"/>
            <w:noProof/>
          </w:rPr>
          <w:t>ANÁLISE FÍSICO-QUÍMICO DA ÁGUA</w:t>
        </w:r>
        <w:r w:rsidR="00CB2BCC">
          <w:rPr>
            <w:noProof/>
            <w:webHidden/>
          </w:rPr>
          <w:tab/>
        </w:r>
        <w:r w:rsidR="00CB2BCC">
          <w:rPr>
            <w:noProof/>
            <w:webHidden/>
          </w:rPr>
          <w:fldChar w:fldCharType="begin"/>
        </w:r>
        <w:r w:rsidR="00CB2BCC">
          <w:rPr>
            <w:noProof/>
            <w:webHidden/>
          </w:rPr>
          <w:instrText xml:space="preserve"> PAGEREF _Toc476825328 \h </w:instrText>
        </w:r>
        <w:r w:rsidR="00CB2BCC">
          <w:rPr>
            <w:noProof/>
            <w:webHidden/>
          </w:rPr>
        </w:r>
        <w:r w:rsidR="00CB2BCC">
          <w:rPr>
            <w:noProof/>
            <w:webHidden/>
          </w:rPr>
          <w:fldChar w:fldCharType="separate"/>
        </w:r>
        <w:r w:rsidR="00CB2BCC">
          <w:rPr>
            <w:noProof/>
            <w:webHidden/>
          </w:rPr>
          <w:t>6</w:t>
        </w:r>
        <w:r w:rsidR="00CB2BCC">
          <w:rPr>
            <w:noProof/>
            <w:webHidden/>
          </w:rPr>
          <w:fldChar w:fldCharType="end"/>
        </w:r>
      </w:hyperlink>
    </w:p>
    <w:p w14:paraId="1CC9855E" w14:textId="77777777" w:rsidR="00CB2BCC" w:rsidRDefault="00E679BE">
      <w:pPr>
        <w:pStyle w:val="Sumrio1"/>
        <w:rPr>
          <w:rFonts w:ascii="Times New Roman" w:hAnsi="Times New Roman"/>
          <w:noProof/>
          <w:sz w:val="24"/>
          <w:szCs w:val="24"/>
        </w:rPr>
      </w:pPr>
      <w:hyperlink w:anchor="_Toc476825329" w:history="1">
        <w:r w:rsidR="00CB2BCC" w:rsidRPr="00AB3EF9">
          <w:rPr>
            <w:rStyle w:val="Hyperlink"/>
            <w:noProof/>
          </w:rPr>
          <w:t>5</w:t>
        </w:r>
        <w:r w:rsidR="00CB2BCC">
          <w:rPr>
            <w:rFonts w:ascii="Times New Roman" w:hAnsi="Times New Roman"/>
            <w:noProof/>
            <w:sz w:val="24"/>
            <w:szCs w:val="24"/>
          </w:rPr>
          <w:tab/>
        </w:r>
        <w:r w:rsidR="00CB2BCC" w:rsidRPr="00AB3EF9">
          <w:rPr>
            <w:rStyle w:val="Hyperlink"/>
            <w:noProof/>
          </w:rPr>
          <w:t>ANÁLISE DOS NÍVEIS DE CONFORTO TÉRMICO AMBIENTAL (ACT)</w:t>
        </w:r>
        <w:r w:rsidR="00CB2BCC">
          <w:rPr>
            <w:noProof/>
            <w:webHidden/>
          </w:rPr>
          <w:tab/>
        </w:r>
        <w:r w:rsidR="00CB2BCC">
          <w:rPr>
            <w:noProof/>
            <w:webHidden/>
          </w:rPr>
          <w:fldChar w:fldCharType="begin"/>
        </w:r>
        <w:r w:rsidR="00CB2BCC">
          <w:rPr>
            <w:noProof/>
            <w:webHidden/>
          </w:rPr>
          <w:instrText xml:space="preserve"> PAGEREF _Toc476825329 \h </w:instrText>
        </w:r>
        <w:r w:rsidR="00CB2BCC">
          <w:rPr>
            <w:noProof/>
            <w:webHidden/>
          </w:rPr>
        </w:r>
        <w:r w:rsidR="00CB2BCC">
          <w:rPr>
            <w:noProof/>
            <w:webHidden/>
          </w:rPr>
          <w:fldChar w:fldCharType="separate"/>
        </w:r>
        <w:r w:rsidR="00CB2BCC">
          <w:rPr>
            <w:noProof/>
            <w:webHidden/>
          </w:rPr>
          <w:t>8</w:t>
        </w:r>
        <w:r w:rsidR="00CB2BCC">
          <w:rPr>
            <w:noProof/>
            <w:webHidden/>
          </w:rPr>
          <w:fldChar w:fldCharType="end"/>
        </w:r>
      </w:hyperlink>
    </w:p>
    <w:p w14:paraId="1CC9855F" w14:textId="77777777" w:rsidR="00CB2BCC" w:rsidRDefault="00E679BE">
      <w:pPr>
        <w:pStyle w:val="Sumrio1"/>
        <w:rPr>
          <w:rFonts w:ascii="Times New Roman" w:hAnsi="Times New Roman"/>
          <w:noProof/>
          <w:sz w:val="24"/>
          <w:szCs w:val="24"/>
        </w:rPr>
      </w:pPr>
      <w:hyperlink w:anchor="_Toc476825330" w:history="1">
        <w:r w:rsidR="00CB2BCC" w:rsidRPr="00AB3EF9">
          <w:rPr>
            <w:rStyle w:val="Hyperlink"/>
            <w:noProof/>
          </w:rPr>
          <w:t>6</w:t>
        </w:r>
        <w:r w:rsidR="00CB2BCC">
          <w:rPr>
            <w:rFonts w:ascii="Times New Roman" w:hAnsi="Times New Roman"/>
            <w:noProof/>
            <w:sz w:val="24"/>
            <w:szCs w:val="24"/>
          </w:rPr>
          <w:tab/>
        </w:r>
        <w:r w:rsidR="00CB2BCC" w:rsidRPr="00AB3EF9">
          <w:rPr>
            <w:rStyle w:val="Hyperlink"/>
            <w:noProof/>
          </w:rPr>
          <w:t>ANÁLISE DOS NÍVEIS DE RUÍDO (ANR)</w:t>
        </w:r>
        <w:r w:rsidR="00CB2BCC">
          <w:rPr>
            <w:noProof/>
            <w:webHidden/>
          </w:rPr>
          <w:tab/>
        </w:r>
        <w:r w:rsidR="00CB2BCC">
          <w:rPr>
            <w:noProof/>
            <w:webHidden/>
          </w:rPr>
          <w:fldChar w:fldCharType="begin"/>
        </w:r>
        <w:r w:rsidR="00CB2BCC">
          <w:rPr>
            <w:noProof/>
            <w:webHidden/>
          </w:rPr>
          <w:instrText xml:space="preserve"> PAGEREF _Toc476825330 \h </w:instrText>
        </w:r>
        <w:r w:rsidR="00CB2BCC">
          <w:rPr>
            <w:noProof/>
            <w:webHidden/>
          </w:rPr>
        </w:r>
        <w:r w:rsidR="00CB2BCC">
          <w:rPr>
            <w:noProof/>
            <w:webHidden/>
          </w:rPr>
          <w:fldChar w:fldCharType="separate"/>
        </w:r>
        <w:r w:rsidR="00CB2BCC">
          <w:rPr>
            <w:noProof/>
            <w:webHidden/>
          </w:rPr>
          <w:t>10</w:t>
        </w:r>
        <w:r w:rsidR="00CB2BCC">
          <w:rPr>
            <w:noProof/>
            <w:webHidden/>
          </w:rPr>
          <w:fldChar w:fldCharType="end"/>
        </w:r>
      </w:hyperlink>
    </w:p>
    <w:p w14:paraId="1CC98560" w14:textId="77777777" w:rsidR="00CB2BCC" w:rsidRDefault="00E679BE">
      <w:pPr>
        <w:pStyle w:val="Sumrio1"/>
        <w:rPr>
          <w:rFonts w:ascii="Times New Roman" w:hAnsi="Times New Roman"/>
          <w:noProof/>
          <w:sz w:val="24"/>
          <w:szCs w:val="24"/>
        </w:rPr>
      </w:pPr>
      <w:hyperlink w:anchor="_Toc476825331" w:history="1">
        <w:r w:rsidR="00CB2BCC" w:rsidRPr="00AB3EF9">
          <w:rPr>
            <w:rStyle w:val="Hyperlink"/>
            <w:noProof/>
          </w:rPr>
          <w:t>7</w:t>
        </w:r>
        <w:r w:rsidR="00CB2BCC">
          <w:rPr>
            <w:rFonts w:ascii="Times New Roman" w:hAnsi="Times New Roman"/>
            <w:noProof/>
            <w:sz w:val="24"/>
            <w:szCs w:val="24"/>
          </w:rPr>
          <w:tab/>
        </w:r>
        <w:r w:rsidR="00CB2BCC" w:rsidRPr="00AB3EF9">
          <w:rPr>
            <w:rStyle w:val="Hyperlink"/>
            <w:noProof/>
          </w:rPr>
          <w:t>CERTIFICAÇÃO DA REDE LÓGICA E CABEAMENTO ESTRUTURADO</w:t>
        </w:r>
        <w:r w:rsidR="00CB2BCC">
          <w:rPr>
            <w:noProof/>
            <w:webHidden/>
          </w:rPr>
          <w:tab/>
        </w:r>
        <w:r w:rsidR="00CB2BCC">
          <w:rPr>
            <w:noProof/>
            <w:webHidden/>
          </w:rPr>
          <w:fldChar w:fldCharType="begin"/>
        </w:r>
        <w:r w:rsidR="00CB2BCC">
          <w:rPr>
            <w:noProof/>
            <w:webHidden/>
          </w:rPr>
          <w:instrText xml:space="preserve"> PAGEREF _Toc476825331 \h </w:instrText>
        </w:r>
        <w:r w:rsidR="00CB2BCC">
          <w:rPr>
            <w:noProof/>
            <w:webHidden/>
          </w:rPr>
        </w:r>
        <w:r w:rsidR="00CB2BCC">
          <w:rPr>
            <w:noProof/>
            <w:webHidden/>
          </w:rPr>
          <w:fldChar w:fldCharType="separate"/>
        </w:r>
        <w:r w:rsidR="00CB2BCC">
          <w:rPr>
            <w:noProof/>
            <w:webHidden/>
          </w:rPr>
          <w:t>13</w:t>
        </w:r>
        <w:r w:rsidR="00CB2BCC">
          <w:rPr>
            <w:noProof/>
            <w:webHidden/>
          </w:rPr>
          <w:fldChar w:fldCharType="end"/>
        </w:r>
      </w:hyperlink>
    </w:p>
    <w:p w14:paraId="1CC98561" w14:textId="77777777" w:rsidR="00CB2BCC" w:rsidRDefault="00E679BE">
      <w:pPr>
        <w:pStyle w:val="Sumrio1"/>
        <w:rPr>
          <w:rFonts w:ascii="Times New Roman" w:hAnsi="Times New Roman"/>
          <w:noProof/>
          <w:sz w:val="24"/>
          <w:szCs w:val="24"/>
        </w:rPr>
      </w:pPr>
      <w:hyperlink w:anchor="_Toc476825332" w:history="1">
        <w:r w:rsidR="00CB2BCC" w:rsidRPr="00AB3EF9">
          <w:rPr>
            <w:rStyle w:val="Hyperlink"/>
            <w:noProof/>
          </w:rPr>
          <w:t>8</w:t>
        </w:r>
        <w:r w:rsidR="00CB2BCC">
          <w:rPr>
            <w:rFonts w:ascii="Times New Roman" w:hAnsi="Times New Roman"/>
            <w:noProof/>
            <w:sz w:val="24"/>
            <w:szCs w:val="24"/>
          </w:rPr>
          <w:tab/>
        </w:r>
        <w:r w:rsidR="00CB2BCC" w:rsidRPr="00AB3EF9">
          <w:rPr>
            <w:rStyle w:val="Hyperlink"/>
            <w:noProof/>
          </w:rPr>
          <w:t>LEVANTAMENTO PLANIALTIMÉTRICO (LPA)</w:t>
        </w:r>
        <w:r w:rsidR="00CB2BCC">
          <w:rPr>
            <w:noProof/>
            <w:webHidden/>
          </w:rPr>
          <w:tab/>
        </w:r>
        <w:r w:rsidR="00CB2BCC">
          <w:rPr>
            <w:noProof/>
            <w:webHidden/>
          </w:rPr>
          <w:fldChar w:fldCharType="begin"/>
        </w:r>
        <w:r w:rsidR="00CB2BCC">
          <w:rPr>
            <w:noProof/>
            <w:webHidden/>
          </w:rPr>
          <w:instrText xml:space="preserve"> PAGEREF _Toc476825332 \h </w:instrText>
        </w:r>
        <w:r w:rsidR="00CB2BCC">
          <w:rPr>
            <w:noProof/>
            <w:webHidden/>
          </w:rPr>
        </w:r>
        <w:r w:rsidR="00CB2BCC">
          <w:rPr>
            <w:noProof/>
            <w:webHidden/>
          </w:rPr>
          <w:fldChar w:fldCharType="separate"/>
        </w:r>
        <w:r w:rsidR="00CB2BCC">
          <w:rPr>
            <w:noProof/>
            <w:webHidden/>
          </w:rPr>
          <w:t>16</w:t>
        </w:r>
        <w:r w:rsidR="00CB2BCC">
          <w:rPr>
            <w:noProof/>
            <w:webHidden/>
          </w:rPr>
          <w:fldChar w:fldCharType="end"/>
        </w:r>
      </w:hyperlink>
    </w:p>
    <w:p w14:paraId="1CC98562" w14:textId="77777777" w:rsidR="00CB2BCC" w:rsidRDefault="00E679BE">
      <w:pPr>
        <w:pStyle w:val="Sumrio1"/>
        <w:rPr>
          <w:rFonts w:ascii="Times New Roman" w:hAnsi="Times New Roman"/>
          <w:noProof/>
          <w:sz w:val="24"/>
          <w:szCs w:val="24"/>
        </w:rPr>
      </w:pPr>
      <w:hyperlink w:anchor="_Toc476825333" w:history="1">
        <w:r w:rsidR="00CB2BCC" w:rsidRPr="00AB3EF9">
          <w:rPr>
            <w:rStyle w:val="Hyperlink"/>
            <w:noProof/>
          </w:rPr>
          <w:t>9</w:t>
        </w:r>
        <w:r w:rsidR="00CB2BCC">
          <w:rPr>
            <w:rFonts w:ascii="Times New Roman" w:hAnsi="Times New Roman"/>
            <w:noProof/>
            <w:sz w:val="24"/>
            <w:szCs w:val="24"/>
          </w:rPr>
          <w:tab/>
        </w:r>
        <w:r w:rsidR="00CB2BCC" w:rsidRPr="00AB3EF9">
          <w:rPr>
            <w:rStyle w:val="Hyperlink"/>
            <w:noProof/>
          </w:rPr>
          <w:t>SONDAGEM SPT (SPT)</w:t>
        </w:r>
        <w:r w:rsidR="00CB2BCC">
          <w:rPr>
            <w:noProof/>
            <w:webHidden/>
          </w:rPr>
          <w:tab/>
        </w:r>
        <w:r w:rsidR="00CB2BCC">
          <w:rPr>
            <w:noProof/>
            <w:webHidden/>
          </w:rPr>
          <w:fldChar w:fldCharType="begin"/>
        </w:r>
        <w:r w:rsidR="00CB2BCC">
          <w:rPr>
            <w:noProof/>
            <w:webHidden/>
          </w:rPr>
          <w:instrText xml:space="preserve"> PAGEREF _Toc476825333 \h </w:instrText>
        </w:r>
        <w:r w:rsidR="00CB2BCC">
          <w:rPr>
            <w:noProof/>
            <w:webHidden/>
          </w:rPr>
        </w:r>
        <w:r w:rsidR="00CB2BCC">
          <w:rPr>
            <w:noProof/>
            <w:webHidden/>
          </w:rPr>
          <w:fldChar w:fldCharType="separate"/>
        </w:r>
        <w:r w:rsidR="00CB2BCC">
          <w:rPr>
            <w:noProof/>
            <w:webHidden/>
          </w:rPr>
          <w:t>19</w:t>
        </w:r>
        <w:r w:rsidR="00CB2BCC">
          <w:rPr>
            <w:noProof/>
            <w:webHidden/>
          </w:rPr>
          <w:fldChar w:fldCharType="end"/>
        </w:r>
      </w:hyperlink>
    </w:p>
    <w:p w14:paraId="1CC98563" w14:textId="77777777" w:rsidR="00CB2BCC" w:rsidRDefault="00E679BE">
      <w:pPr>
        <w:pStyle w:val="Sumrio1"/>
        <w:rPr>
          <w:rFonts w:ascii="Times New Roman" w:hAnsi="Times New Roman"/>
          <w:noProof/>
          <w:sz w:val="24"/>
          <w:szCs w:val="24"/>
        </w:rPr>
      </w:pPr>
      <w:hyperlink w:anchor="_Toc476825334" w:history="1">
        <w:r w:rsidR="00CB2BCC" w:rsidRPr="00AB3EF9">
          <w:rPr>
            <w:rStyle w:val="Hyperlink"/>
            <w:noProof/>
          </w:rPr>
          <w:t>10</w:t>
        </w:r>
        <w:r w:rsidR="00CB2BCC">
          <w:rPr>
            <w:rFonts w:ascii="Times New Roman" w:hAnsi="Times New Roman"/>
            <w:noProof/>
            <w:sz w:val="24"/>
            <w:szCs w:val="24"/>
          </w:rPr>
          <w:tab/>
        </w:r>
        <w:r w:rsidR="00CB2BCC" w:rsidRPr="00AB3EF9">
          <w:rPr>
            <w:rStyle w:val="Hyperlink"/>
            <w:noProof/>
          </w:rPr>
          <w:t>SONDAGEM ROTATIVA(SRO)</w:t>
        </w:r>
        <w:r w:rsidR="00CB2BCC">
          <w:rPr>
            <w:noProof/>
            <w:webHidden/>
          </w:rPr>
          <w:tab/>
        </w:r>
        <w:r w:rsidR="00CB2BCC">
          <w:rPr>
            <w:noProof/>
            <w:webHidden/>
          </w:rPr>
          <w:fldChar w:fldCharType="begin"/>
        </w:r>
        <w:r w:rsidR="00CB2BCC">
          <w:rPr>
            <w:noProof/>
            <w:webHidden/>
          </w:rPr>
          <w:instrText xml:space="preserve"> PAGEREF _Toc476825334 \h </w:instrText>
        </w:r>
        <w:r w:rsidR="00CB2BCC">
          <w:rPr>
            <w:noProof/>
            <w:webHidden/>
          </w:rPr>
        </w:r>
        <w:r w:rsidR="00CB2BCC">
          <w:rPr>
            <w:noProof/>
            <w:webHidden/>
          </w:rPr>
          <w:fldChar w:fldCharType="separate"/>
        </w:r>
        <w:r w:rsidR="00CB2BCC">
          <w:rPr>
            <w:noProof/>
            <w:webHidden/>
          </w:rPr>
          <w:t>25</w:t>
        </w:r>
        <w:r w:rsidR="00CB2BCC">
          <w:rPr>
            <w:noProof/>
            <w:webHidden/>
          </w:rPr>
          <w:fldChar w:fldCharType="end"/>
        </w:r>
      </w:hyperlink>
    </w:p>
    <w:p w14:paraId="1CC98564" w14:textId="77777777" w:rsidR="00CB2BCC" w:rsidRPr="00BA5EA9" w:rsidRDefault="00CB2BCC" w:rsidP="00F9389C">
      <w:pPr>
        <w:jc w:val="left"/>
        <w:rPr>
          <w:rFonts w:cs="Arial"/>
          <w:b/>
          <w:szCs w:val="22"/>
        </w:rPr>
      </w:pPr>
      <w:r w:rsidRPr="00BA5EA9">
        <w:rPr>
          <w:rFonts w:cs="Arial"/>
        </w:rPr>
        <w:fldChar w:fldCharType="end"/>
      </w:r>
    </w:p>
    <w:p w14:paraId="1CC98565" w14:textId="77777777" w:rsidR="00CB2BCC" w:rsidRPr="00BA5EA9" w:rsidRDefault="00CB2BCC" w:rsidP="00F9389C">
      <w:pPr>
        <w:jc w:val="left"/>
        <w:rPr>
          <w:rFonts w:cs="Arial"/>
          <w:b/>
          <w:szCs w:val="22"/>
        </w:rPr>
      </w:pPr>
    </w:p>
    <w:p w14:paraId="1CC98566" w14:textId="77777777" w:rsidR="00CB2BCC" w:rsidRPr="00BA5EA9" w:rsidRDefault="00CB2BCC" w:rsidP="00F9389C">
      <w:pPr>
        <w:jc w:val="left"/>
        <w:rPr>
          <w:rFonts w:cs="Arial"/>
          <w:b/>
          <w:szCs w:val="22"/>
        </w:rPr>
      </w:pPr>
    </w:p>
    <w:p w14:paraId="1CC98567" w14:textId="77777777" w:rsidR="00CB2BCC" w:rsidRPr="00BA5EA9" w:rsidRDefault="00CB2BCC" w:rsidP="00F9389C">
      <w:pPr>
        <w:jc w:val="left"/>
        <w:rPr>
          <w:rFonts w:cs="Arial"/>
          <w:b/>
          <w:szCs w:val="22"/>
        </w:rPr>
      </w:pPr>
    </w:p>
    <w:p w14:paraId="1CC98568" w14:textId="77777777" w:rsidR="00CB2BCC" w:rsidRPr="00BA5EA9" w:rsidRDefault="00CB2BCC" w:rsidP="00F9389C">
      <w:pPr>
        <w:jc w:val="left"/>
        <w:rPr>
          <w:rFonts w:cs="Arial"/>
          <w:b/>
          <w:szCs w:val="22"/>
        </w:rPr>
      </w:pPr>
      <w:r w:rsidRPr="00BA5EA9">
        <w:rPr>
          <w:rFonts w:cs="Arial"/>
          <w:b/>
          <w:szCs w:val="22"/>
        </w:rPr>
        <w:t>Lista de Tabelas</w:t>
      </w:r>
    </w:p>
    <w:p w14:paraId="1CC98569" w14:textId="77777777" w:rsidR="00CB2BCC" w:rsidRPr="00BA5EA9" w:rsidRDefault="00CB2BCC" w:rsidP="00594ECA">
      <w:pPr>
        <w:pStyle w:val="ndicedeilustraes"/>
        <w:numPr>
          <w:ilvl w:val="0"/>
          <w:numId w:val="0"/>
        </w:numPr>
        <w:tabs>
          <w:tab w:val="right" w:leader="dot" w:pos="8494"/>
        </w:tabs>
        <w:rPr>
          <w:rFonts w:cs="Arial"/>
          <w:noProof/>
          <w:sz w:val="24"/>
        </w:rPr>
      </w:pPr>
      <w:r w:rsidRPr="00BA5EA9">
        <w:rPr>
          <w:rFonts w:cs="Arial"/>
          <w:b/>
          <w:szCs w:val="22"/>
        </w:rPr>
        <w:fldChar w:fldCharType="begin"/>
      </w:r>
      <w:r w:rsidRPr="00BA5EA9">
        <w:rPr>
          <w:rFonts w:cs="Arial"/>
          <w:b/>
          <w:szCs w:val="22"/>
        </w:rPr>
        <w:instrText xml:space="preserve"> TOC \h \z \c "Tabela B" </w:instrText>
      </w:r>
      <w:r w:rsidRPr="00BA5EA9">
        <w:rPr>
          <w:rFonts w:cs="Arial"/>
          <w:b/>
          <w:szCs w:val="22"/>
        </w:rPr>
        <w:fldChar w:fldCharType="separate"/>
      </w:r>
      <w:hyperlink w:anchor="_Toc424033675" w:history="1">
        <w:r w:rsidRPr="00BA5EA9">
          <w:rPr>
            <w:rStyle w:val="Hyperlink"/>
            <w:rFonts w:cs="Arial"/>
            <w:noProof/>
          </w:rPr>
          <w:t>Tabela B 1 - Controle físico-químico do tratamento de água de resfriamento</w:t>
        </w:r>
        <w:r w:rsidRPr="00BA5EA9">
          <w:rPr>
            <w:rFonts w:cs="Arial"/>
            <w:noProof/>
            <w:webHidden/>
          </w:rPr>
          <w:tab/>
        </w:r>
        <w:r w:rsidRPr="00BA5EA9">
          <w:rPr>
            <w:rFonts w:cs="Arial"/>
            <w:noProof/>
            <w:webHidden/>
          </w:rPr>
          <w:fldChar w:fldCharType="begin"/>
        </w:r>
        <w:r w:rsidRPr="00BA5EA9">
          <w:rPr>
            <w:rFonts w:cs="Arial"/>
            <w:noProof/>
            <w:webHidden/>
          </w:rPr>
          <w:instrText xml:space="preserve"> PAGEREF _Toc424033675 \h </w:instrText>
        </w:r>
        <w:r w:rsidRPr="00BA5EA9">
          <w:rPr>
            <w:rFonts w:cs="Arial"/>
            <w:noProof/>
            <w:webHidden/>
          </w:rPr>
        </w:r>
        <w:r w:rsidRPr="00BA5EA9">
          <w:rPr>
            <w:rFonts w:cs="Arial"/>
            <w:noProof/>
            <w:webHidden/>
          </w:rPr>
          <w:fldChar w:fldCharType="separate"/>
        </w:r>
        <w:r>
          <w:rPr>
            <w:rFonts w:cs="Arial"/>
            <w:noProof/>
            <w:webHidden/>
          </w:rPr>
          <w:t>7</w:t>
        </w:r>
        <w:r w:rsidRPr="00BA5EA9">
          <w:rPr>
            <w:rFonts w:cs="Arial"/>
            <w:noProof/>
            <w:webHidden/>
          </w:rPr>
          <w:fldChar w:fldCharType="end"/>
        </w:r>
      </w:hyperlink>
    </w:p>
    <w:p w14:paraId="1CC9856A" w14:textId="77777777" w:rsidR="00CB2BCC" w:rsidRPr="00BA5EA9" w:rsidRDefault="00E679BE" w:rsidP="00594ECA">
      <w:pPr>
        <w:pStyle w:val="ndicedeilustraes"/>
        <w:numPr>
          <w:ilvl w:val="0"/>
          <w:numId w:val="0"/>
        </w:numPr>
        <w:tabs>
          <w:tab w:val="right" w:leader="dot" w:pos="8494"/>
        </w:tabs>
        <w:rPr>
          <w:rFonts w:cs="Arial"/>
          <w:noProof/>
          <w:sz w:val="24"/>
        </w:rPr>
      </w:pPr>
      <w:hyperlink w:anchor="_Toc424033676" w:history="1">
        <w:r w:rsidR="00CB2BCC" w:rsidRPr="00BA5EA9">
          <w:rPr>
            <w:rStyle w:val="Hyperlink"/>
            <w:rFonts w:cs="Arial"/>
            <w:noProof/>
          </w:rPr>
          <w:t>Tabela B 2 - Erros aceitáveis para fatores de qualidade de instrumento</w:t>
        </w:r>
        <w:r w:rsidR="00CB2BCC" w:rsidRPr="00BA5EA9">
          <w:rPr>
            <w:rFonts w:cs="Arial"/>
            <w:noProof/>
            <w:webHidden/>
          </w:rPr>
          <w:tab/>
        </w:r>
        <w:r w:rsidR="00CB2BCC" w:rsidRPr="00BA5EA9">
          <w:rPr>
            <w:rFonts w:cs="Arial"/>
            <w:noProof/>
            <w:webHidden/>
          </w:rPr>
          <w:fldChar w:fldCharType="begin"/>
        </w:r>
        <w:r w:rsidR="00CB2BCC" w:rsidRPr="00BA5EA9">
          <w:rPr>
            <w:rFonts w:cs="Arial"/>
            <w:noProof/>
            <w:webHidden/>
          </w:rPr>
          <w:instrText xml:space="preserve"> PAGEREF _Toc424033676 \h </w:instrText>
        </w:r>
        <w:r w:rsidR="00CB2BCC" w:rsidRPr="00BA5EA9">
          <w:rPr>
            <w:rFonts w:cs="Arial"/>
            <w:noProof/>
            <w:webHidden/>
          </w:rPr>
        </w:r>
        <w:r w:rsidR="00CB2BCC" w:rsidRPr="00BA5EA9">
          <w:rPr>
            <w:rFonts w:cs="Arial"/>
            <w:noProof/>
            <w:webHidden/>
          </w:rPr>
          <w:fldChar w:fldCharType="separate"/>
        </w:r>
        <w:r w:rsidR="00CB2BCC">
          <w:rPr>
            <w:rFonts w:cs="Arial"/>
            <w:noProof/>
            <w:webHidden/>
          </w:rPr>
          <w:t>20</w:t>
        </w:r>
        <w:r w:rsidR="00CB2BCC" w:rsidRPr="00BA5EA9">
          <w:rPr>
            <w:rFonts w:cs="Arial"/>
            <w:noProof/>
            <w:webHidden/>
          </w:rPr>
          <w:fldChar w:fldCharType="end"/>
        </w:r>
      </w:hyperlink>
    </w:p>
    <w:p w14:paraId="1CC9856B" w14:textId="77777777" w:rsidR="00CB2BCC" w:rsidRPr="00BA5EA9" w:rsidRDefault="00E679BE" w:rsidP="00594ECA">
      <w:pPr>
        <w:pStyle w:val="ndicedeilustraes"/>
        <w:numPr>
          <w:ilvl w:val="0"/>
          <w:numId w:val="0"/>
        </w:numPr>
        <w:tabs>
          <w:tab w:val="right" w:leader="dot" w:pos="8494"/>
        </w:tabs>
        <w:rPr>
          <w:rFonts w:cs="Arial"/>
          <w:noProof/>
          <w:sz w:val="24"/>
        </w:rPr>
      </w:pPr>
      <w:hyperlink w:anchor="_Toc424033677" w:history="1">
        <w:r w:rsidR="00CB2BCC" w:rsidRPr="00BA5EA9">
          <w:rPr>
            <w:rStyle w:val="Hyperlink"/>
            <w:rFonts w:cs="Arial"/>
            <w:noProof/>
          </w:rPr>
          <w:t>Tabela B 3 - Número de pontos de medição em relação a K</w:t>
        </w:r>
        <w:r w:rsidR="00CB2BCC" w:rsidRPr="00BA5EA9">
          <w:rPr>
            <w:rFonts w:cs="Arial"/>
            <w:noProof/>
            <w:webHidden/>
          </w:rPr>
          <w:tab/>
        </w:r>
        <w:r w:rsidR="00CB2BCC" w:rsidRPr="00BA5EA9">
          <w:rPr>
            <w:rFonts w:cs="Arial"/>
            <w:noProof/>
            <w:webHidden/>
          </w:rPr>
          <w:fldChar w:fldCharType="begin"/>
        </w:r>
        <w:r w:rsidR="00CB2BCC" w:rsidRPr="00BA5EA9">
          <w:rPr>
            <w:rFonts w:cs="Arial"/>
            <w:noProof/>
            <w:webHidden/>
          </w:rPr>
          <w:instrText xml:space="preserve"> PAGEREF _Toc424033677 \h </w:instrText>
        </w:r>
        <w:r w:rsidR="00CB2BCC" w:rsidRPr="00BA5EA9">
          <w:rPr>
            <w:rFonts w:cs="Arial"/>
            <w:noProof/>
            <w:webHidden/>
          </w:rPr>
        </w:r>
        <w:r w:rsidR="00CB2BCC" w:rsidRPr="00BA5EA9">
          <w:rPr>
            <w:rFonts w:cs="Arial"/>
            <w:noProof/>
            <w:webHidden/>
          </w:rPr>
          <w:fldChar w:fldCharType="separate"/>
        </w:r>
        <w:r w:rsidR="00CB2BCC">
          <w:rPr>
            <w:rFonts w:cs="Arial"/>
            <w:noProof/>
            <w:webHidden/>
          </w:rPr>
          <w:t>20</w:t>
        </w:r>
        <w:r w:rsidR="00CB2BCC" w:rsidRPr="00BA5EA9">
          <w:rPr>
            <w:rFonts w:cs="Arial"/>
            <w:noProof/>
            <w:webHidden/>
          </w:rPr>
          <w:fldChar w:fldCharType="end"/>
        </w:r>
      </w:hyperlink>
    </w:p>
    <w:p w14:paraId="1CC9856C" w14:textId="77777777" w:rsidR="00CB2BCC" w:rsidRPr="00BA5EA9" w:rsidRDefault="00E679BE" w:rsidP="00594ECA">
      <w:pPr>
        <w:pStyle w:val="ndicedeilustraes"/>
        <w:numPr>
          <w:ilvl w:val="0"/>
          <w:numId w:val="0"/>
        </w:numPr>
        <w:tabs>
          <w:tab w:val="right" w:leader="dot" w:pos="8494"/>
        </w:tabs>
        <w:rPr>
          <w:rFonts w:cs="Arial"/>
          <w:noProof/>
          <w:sz w:val="24"/>
        </w:rPr>
      </w:pPr>
      <w:hyperlink w:anchor="_Toc424033678" w:history="1">
        <w:r w:rsidR="00CB2BCC" w:rsidRPr="00BA5EA9">
          <w:rPr>
            <w:rStyle w:val="Hyperlink"/>
            <w:rFonts w:cs="Arial"/>
            <w:noProof/>
          </w:rPr>
          <w:t>Tabela B 4 - Dimensões Padronizadas de Hastes - W</w:t>
        </w:r>
        <w:r w:rsidR="00CB2BCC" w:rsidRPr="00BA5EA9">
          <w:rPr>
            <w:rFonts w:cs="Arial"/>
            <w:noProof/>
            <w:webHidden/>
          </w:rPr>
          <w:tab/>
        </w:r>
        <w:r w:rsidR="00CB2BCC" w:rsidRPr="00BA5EA9">
          <w:rPr>
            <w:rFonts w:cs="Arial"/>
            <w:noProof/>
            <w:webHidden/>
          </w:rPr>
          <w:fldChar w:fldCharType="begin"/>
        </w:r>
        <w:r w:rsidR="00CB2BCC" w:rsidRPr="00BA5EA9">
          <w:rPr>
            <w:rFonts w:cs="Arial"/>
            <w:noProof/>
            <w:webHidden/>
          </w:rPr>
          <w:instrText xml:space="preserve"> PAGEREF _Toc424033678 \h </w:instrText>
        </w:r>
        <w:r w:rsidR="00CB2BCC" w:rsidRPr="00BA5EA9">
          <w:rPr>
            <w:rFonts w:cs="Arial"/>
            <w:noProof/>
            <w:webHidden/>
          </w:rPr>
        </w:r>
        <w:r w:rsidR="00CB2BCC" w:rsidRPr="00BA5EA9">
          <w:rPr>
            <w:rFonts w:cs="Arial"/>
            <w:noProof/>
            <w:webHidden/>
          </w:rPr>
          <w:fldChar w:fldCharType="separate"/>
        </w:r>
        <w:r w:rsidR="00CB2BCC">
          <w:rPr>
            <w:rFonts w:cs="Arial"/>
            <w:noProof/>
            <w:webHidden/>
          </w:rPr>
          <w:t>34</w:t>
        </w:r>
        <w:r w:rsidR="00CB2BCC" w:rsidRPr="00BA5EA9">
          <w:rPr>
            <w:rFonts w:cs="Arial"/>
            <w:noProof/>
            <w:webHidden/>
          </w:rPr>
          <w:fldChar w:fldCharType="end"/>
        </w:r>
      </w:hyperlink>
    </w:p>
    <w:p w14:paraId="1CC9856D" w14:textId="77777777" w:rsidR="00CB2BCC" w:rsidRPr="00BA5EA9" w:rsidRDefault="00E679BE" w:rsidP="00594ECA">
      <w:pPr>
        <w:pStyle w:val="ndicedeilustraes"/>
        <w:numPr>
          <w:ilvl w:val="0"/>
          <w:numId w:val="0"/>
        </w:numPr>
        <w:tabs>
          <w:tab w:val="right" w:leader="dot" w:pos="8494"/>
        </w:tabs>
        <w:rPr>
          <w:rFonts w:cs="Arial"/>
          <w:noProof/>
          <w:sz w:val="24"/>
        </w:rPr>
      </w:pPr>
      <w:hyperlink w:anchor="_Toc424033679" w:history="1">
        <w:r w:rsidR="00CB2BCC" w:rsidRPr="00BA5EA9">
          <w:rPr>
            <w:rStyle w:val="Hyperlink"/>
            <w:rFonts w:cs="Arial"/>
            <w:noProof/>
          </w:rPr>
          <w:t>Tabela B 5 - Dimensões Padronizadas de Revestimentos - grupo W - junção lisa direta</w:t>
        </w:r>
        <w:r w:rsidR="00CB2BCC" w:rsidRPr="00BA5EA9">
          <w:rPr>
            <w:rFonts w:cs="Arial"/>
            <w:noProof/>
            <w:webHidden/>
          </w:rPr>
          <w:tab/>
        </w:r>
        <w:r w:rsidR="00CB2BCC" w:rsidRPr="00BA5EA9">
          <w:rPr>
            <w:rFonts w:cs="Arial"/>
            <w:noProof/>
            <w:webHidden/>
          </w:rPr>
          <w:fldChar w:fldCharType="begin"/>
        </w:r>
        <w:r w:rsidR="00CB2BCC" w:rsidRPr="00BA5EA9">
          <w:rPr>
            <w:rFonts w:cs="Arial"/>
            <w:noProof/>
            <w:webHidden/>
          </w:rPr>
          <w:instrText xml:space="preserve"> PAGEREF _Toc424033679 \h </w:instrText>
        </w:r>
        <w:r w:rsidR="00CB2BCC" w:rsidRPr="00BA5EA9">
          <w:rPr>
            <w:rFonts w:cs="Arial"/>
            <w:noProof/>
            <w:webHidden/>
          </w:rPr>
        </w:r>
        <w:r w:rsidR="00CB2BCC" w:rsidRPr="00BA5EA9">
          <w:rPr>
            <w:rFonts w:cs="Arial"/>
            <w:noProof/>
            <w:webHidden/>
          </w:rPr>
          <w:fldChar w:fldCharType="separate"/>
        </w:r>
        <w:r w:rsidR="00CB2BCC">
          <w:rPr>
            <w:rFonts w:cs="Arial"/>
            <w:noProof/>
            <w:webHidden/>
          </w:rPr>
          <w:t>34</w:t>
        </w:r>
        <w:r w:rsidR="00CB2BCC" w:rsidRPr="00BA5EA9">
          <w:rPr>
            <w:rFonts w:cs="Arial"/>
            <w:noProof/>
            <w:webHidden/>
          </w:rPr>
          <w:fldChar w:fldCharType="end"/>
        </w:r>
      </w:hyperlink>
    </w:p>
    <w:p w14:paraId="1CC9856E" w14:textId="77777777" w:rsidR="00CB2BCC" w:rsidRPr="00BA5EA9" w:rsidRDefault="00E679BE" w:rsidP="00594ECA">
      <w:pPr>
        <w:pStyle w:val="ndicedeilustraes"/>
        <w:numPr>
          <w:ilvl w:val="0"/>
          <w:numId w:val="0"/>
        </w:numPr>
        <w:tabs>
          <w:tab w:val="right" w:leader="dot" w:pos="8494"/>
        </w:tabs>
        <w:rPr>
          <w:rFonts w:cs="Arial"/>
          <w:noProof/>
          <w:sz w:val="24"/>
        </w:rPr>
      </w:pPr>
      <w:hyperlink w:anchor="_Toc424033680" w:history="1">
        <w:r w:rsidR="00CB2BCC" w:rsidRPr="00BA5EA9">
          <w:rPr>
            <w:rStyle w:val="Hyperlink"/>
            <w:rFonts w:cs="Arial"/>
            <w:noProof/>
          </w:rPr>
          <w:t>Tabela B 6 - Dimensões Padronizadas de Revestimentos - grupo X - junção lisa com niple ou conector</w:t>
        </w:r>
        <w:r w:rsidR="00CB2BCC" w:rsidRPr="00BA5EA9">
          <w:rPr>
            <w:rFonts w:cs="Arial"/>
            <w:noProof/>
            <w:webHidden/>
          </w:rPr>
          <w:tab/>
        </w:r>
        <w:r w:rsidR="00CB2BCC" w:rsidRPr="00BA5EA9">
          <w:rPr>
            <w:rFonts w:cs="Arial"/>
            <w:noProof/>
            <w:webHidden/>
          </w:rPr>
          <w:fldChar w:fldCharType="begin"/>
        </w:r>
        <w:r w:rsidR="00CB2BCC" w:rsidRPr="00BA5EA9">
          <w:rPr>
            <w:rFonts w:cs="Arial"/>
            <w:noProof/>
            <w:webHidden/>
          </w:rPr>
          <w:instrText xml:space="preserve"> PAGEREF _Toc424033680 \h </w:instrText>
        </w:r>
        <w:r w:rsidR="00CB2BCC" w:rsidRPr="00BA5EA9">
          <w:rPr>
            <w:rFonts w:cs="Arial"/>
            <w:noProof/>
            <w:webHidden/>
          </w:rPr>
        </w:r>
        <w:r w:rsidR="00CB2BCC" w:rsidRPr="00BA5EA9">
          <w:rPr>
            <w:rFonts w:cs="Arial"/>
            <w:noProof/>
            <w:webHidden/>
          </w:rPr>
          <w:fldChar w:fldCharType="separate"/>
        </w:r>
        <w:r w:rsidR="00CB2BCC">
          <w:rPr>
            <w:rFonts w:cs="Arial"/>
            <w:noProof/>
            <w:webHidden/>
          </w:rPr>
          <w:t>35</w:t>
        </w:r>
        <w:r w:rsidR="00CB2BCC" w:rsidRPr="00BA5EA9">
          <w:rPr>
            <w:rFonts w:cs="Arial"/>
            <w:noProof/>
            <w:webHidden/>
          </w:rPr>
          <w:fldChar w:fldCharType="end"/>
        </w:r>
      </w:hyperlink>
    </w:p>
    <w:p w14:paraId="1CC9856F" w14:textId="77777777" w:rsidR="00CB2BCC" w:rsidRPr="00570BC8" w:rsidRDefault="00CB2BCC" w:rsidP="00F9389C">
      <w:pPr>
        <w:jc w:val="left"/>
        <w:rPr>
          <w:rFonts w:cs="Arial"/>
          <w:b/>
          <w:szCs w:val="22"/>
        </w:rPr>
      </w:pPr>
      <w:r w:rsidRPr="00BA5EA9">
        <w:rPr>
          <w:rFonts w:cs="Arial"/>
          <w:b/>
          <w:szCs w:val="22"/>
        </w:rPr>
        <w:fldChar w:fldCharType="end"/>
      </w:r>
    </w:p>
    <w:p w14:paraId="1CC98570" w14:textId="77777777" w:rsidR="00CB2BCC" w:rsidRDefault="00CB2BCC" w:rsidP="00367DEB">
      <w:pPr>
        <w:jc w:val="left"/>
        <w:rPr>
          <w:rFonts w:cs="Arial"/>
          <w:b/>
          <w:szCs w:val="22"/>
        </w:rPr>
      </w:pPr>
    </w:p>
    <w:p w14:paraId="1CC98571" w14:textId="77777777" w:rsidR="00CB2BCC" w:rsidRDefault="00CB2BCC" w:rsidP="00367DEB">
      <w:pPr>
        <w:jc w:val="left"/>
        <w:rPr>
          <w:rFonts w:cs="Arial"/>
          <w:b/>
          <w:szCs w:val="22"/>
        </w:rPr>
      </w:pPr>
    </w:p>
    <w:p w14:paraId="1CC98572" w14:textId="77777777" w:rsidR="00CB2BCC" w:rsidRDefault="00CB2BCC" w:rsidP="00367DEB">
      <w:pPr>
        <w:jc w:val="left"/>
        <w:rPr>
          <w:rFonts w:cs="Arial"/>
          <w:b/>
          <w:szCs w:val="22"/>
        </w:rPr>
      </w:pPr>
    </w:p>
    <w:p w14:paraId="1CC98573" w14:textId="77777777" w:rsidR="00CB2BCC" w:rsidRPr="00570BC8" w:rsidRDefault="00CB2BCC" w:rsidP="00367DEB">
      <w:pPr>
        <w:jc w:val="left"/>
        <w:rPr>
          <w:rFonts w:cs="Arial"/>
          <w:b/>
          <w:szCs w:val="22"/>
        </w:rPr>
      </w:pPr>
    </w:p>
    <w:p w14:paraId="1CC98574" w14:textId="77777777" w:rsidR="00CB2BCC" w:rsidRPr="00570BC8" w:rsidRDefault="00CB2BCC" w:rsidP="00367DEB">
      <w:pPr>
        <w:jc w:val="left"/>
        <w:rPr>
          <w:rFonts w:cs="Arial"/>
          <w:b/>
          <w:szCs w:val="22"/>
        </w:rPr>
      </w:pPr>
    </w:p>
    <w:p w14:paraId="1CC98575" w14:textId="77777777" w:rsidR="00CB2BCC" w:rsidRPr="00570BC8" w:rsidRDefault="00CB2BCC" w:rsidP="00367DEB">
      <w:pPr>
        <w:jc w:val="left"/>
        <w:rPr>
          <w:rFonts w:cs="Arial"/>
          <w:b/>
          <w:szCs w:val="22"/>
        </w:rPr>
      </w:pPr>
    </w:p>
    <w:p w14:paraId="1CC98576" w14:textId="77777777" w:rsidR="00CB2BCC" w:rsidRDefault="00CB2BCC" w:rsidP="00367DEB">
      <w:pPr>
        <w:jc w:val="left"/>
        <w:rPr>
          <w:rFonts w:cs="Arial"/>
          <w:b/>
          <w:szCs w:val="22"/>
        </w:rPr>
      </w:pPr>
    </w:p>
    <w:p w14:paraId="1CC98577" w14:textId="77777777" w:rsidR="00CB2BCC" w:rsidRDefault="00CB2BCC" w:rsidP="00367DEB">
      <w:pPr>
        <w:jc w:val="left"/>
        <w:rPr>
          <w:rFonts w:cs="Arial"/>
          <w:b/>
          <w:szCs w:val="22"/>
        </w:rPr>
      </w:pPr>
    </w:p>
    <w:p w14:paraId="1CC98578" w14:textId="77777777" w:rsidR="00CB2BCC" w:rsidRDefault="00CB2BCC" w:rsidP="00367DEB">
      <w:pPr>
        <w:jc w:val="left"/>
        <w:rPr>
          <w:rFonts w:cs="Arial"/>
          <w:b/>
          <w:szCs w:val="22"/>
        </w:rPr>
      </w:pPr>
    </w:p>
    <w:p w14:paraId="1CC98579" w14:textId="77777777" w:rsidR="00CB2BCC" w:rsidRDefault="00CB2BCC" w:rsidP="00367DEB">
      <w:pPr>
        <w:jc w:val="left"/>
        <w:rPr>
          <w:rFonts w:cs="Arial"/>
          <w:b/>
          <w:szCs w:val="22"/>
        </w:rPr>
      </w:pPr>
    </w:p>
    <w:p w14:paraId="1CC9857A" w14:textId="77777777" w:rsidR="00CB2BCC" w:rsidRDefault="00CB2BCC" w:rsidP="00367DEB">
      <w:pPr>
        <w:jc w:val="left"/>
        <w:rPr>
          <w:rFonts w:cs="Arial"/>
          <w:b/>
          <w:szCs w:val="22"/>
        </w:rPr>
      </w:pPr>
    </w:p>
    <w:p w14:paraId="1CC9857B" w14:textId="77777777" w:rsidR="00CB2BCC" w:rsidRDefault="00CB2BCC" w:rsidP="00367DEB">
      <w:pPr>
        <w:jc w:val="left"/>
        <w:rPr>
          <w:rFonts w:cs="Arial"/>
          <w:b/>
          <w:szCs w:val="22"/>
        </w:rPr>
      </w:pPr>
    </w:p>
    <w:p w14:paraId="1CC9857C" w14:textId="77777777" w:rsidR="00CB2BCC" w:rsidRDefault="00CB2BCC" w:rsidP="00367DEB">
      <w:pPr>
        <w:jc w:val="left"/>
        <w:rPr>
          <w:rFonts w:cs="Arial"/>
          <w:b/>
          <w:szCs w:val="22"/>
        </w:rPr>
      </w:pPr>
    </w:p>
    <w:p w14:paraId="1CC9857D" w14:textId="77777777" w:rsidR="00CB2BCC" w:rsidRDefault="00CB2BCC" w:rsidP="00367DEB">
      <w:pPr>
        <w:jc w:val="left"/>
        <w:rPr>
          <w:rFonts w:cs="Arial"/>
          <w:b/>
          <w:szCs w:val="22"/>
        </w:rPr>
      </w:pPr>
    </w:p>
    <w:p w14:paraId="1CC9857E" w14:textId="77777777" w:rsidR="00CB2BCC" w:rsidRDefault="00CB2BCC" w:rsidP="00367DEB">
      <w:pPr>
        <w:jc w:val="left"/>
        <w:rPr>
          <w:rFonts w:cs="Arial"/>
          <w:b/>
          <w:szCs w:val="22"/>
        </w:rPr>
      </w:pPr>
    </w:p>
    <w:p w14:paraId="1CC9857F" w14:textId="77777777" w:rsidR="00CB2BCC" w:rsidRDefault="00CB2BCC" w:rsidP="00367DEB">
      <w:pPr>
        <w:jc w:val="left"/>
        <w:rPr>
          <w:rFonts w:cs="Arial"/>
          <w:b/>
          <w:szCs w:val="22"/>
        </w:rPr>
      </w:pPr>
    </w:p>
    <w:p w14:paraId="1CC98580" w14:textId="77777777" w:rsidR="00CB2BCC" w:rsidRDefault="00CB2BCC" w:rsidP="00367DEB">
      <w:pPr>
        <w:jc w:val="left"/>
        <w:rPr>
          <w:rFonts w:cs="Arial"/>
          <w:b/>
          <w:szCs w:val="22"/>
        </w:rPr>
      </w:pPr>
    </w:p>
    <w:p w14:paraId="1CC98581" w14:textId="77777777" w:rsidR="00CB2BCC" w:rsidRDefault="00CB2BCC" w:rsidP="00367DEB">
      <w:pPr>
        <w:jc w:val="left"/>
        <w:rPr>
          <w:rFonts w:cs="Arial"/>
          <w:b/>
          <w:szCs w:val="22"/>
        </w:rPr>
      </w:pPr>
    </w:p>
    <w:p w14:paraId="1CC98582" w14:textId="77777777" w:rsidR="00CB2BCC" w:rsidRDefault="00CB2BCC" w:rsidP="00367DEB">
      <w:pPr>
        <w:jc w:val="left"/>
        <w:rPr>
          <w:rFonts w:cs="Arial"/>
          <w:b/>
          <w:szCs w:val="22"/>
        </w:rPr>
      </w:pPr>
    </w:p>
    <w:p w14:paraId="1CC98583" w14:textId="77777777" w:rsidR="00CB2BCC" w:rsidRPr="00F5457D" w:rsidRDefault="00CB2BCC" w:rsidP="00C81DFF">
      <w:pPr>
        <w:pStyle w:val="Estilonivel111ptNegrito"/>
      </w:pPr>
      <w:bookmarkStart w:id="0" w:name="_Toc424033877"/>
      <w:bookmarkStart w:id="1" w:name="_Toc476825325"/>
      <w:r w:rsidRPr="00F5457D">
        <w:t>INTRODUÇÃO</w:t>
      </w:r>
      <w:bookmarkEnd w:id="0"/>
      <w:bookmarkEnd w:id="1"/>
    </w:p>
    <w:p w14:paraId="1CC98584" w14:textId="77777777" w:rsidR="00CB2BCC" w:rsidRDefault="00CB2BCC" w:rsidP="00933931">
      <w:pPr>
        <w:pStyle w:val="Estilonivel2Arial11ptJustificado"/>
        <w:rPr>
          <w:rFonts w:cs="Arial"/>
          <w:sz w:val="22"/>
          <w:szCs w:val="22"/>
        </w:rPr>
      </w:pPr>
      <w:r w:rsidRPr="00570BC8">
        <w:rPr>
          <w:rFonts w:cs="Arial"/>
          <w:sz w:val="22"/>
          <w:szCs w:val="22"/>
        </w:rPr>
        <w:t>Trata-se de serviço especializado de engenharia a ser demandado pela CAIXA cuja execução será previamente autorizada e o pagamento somente será realizado após a sua efetiva conclusão.</w:t>
      </w:r>
    </w:p>
    <w:p w14:paraId="1CC98585" w14:textId="77777777" w:rsidR="00CB2BCC" w:rsidRPr="00570BC8" w:rsidRDefault="00CB2BCC" w:rsidP="00933931">
      <w:pPr>
        <w:pStyle w:val="Estilonivel2Arial11ptJustificado"/>
        <w:rPr>
          <w:rFonts w:cs="Arial"/>
          <w:sz w:val="22"/>
          <w:szCs w:val="22"/>
        </w:rPr>
      </w:pPr>
      <w:r>
        <w:rPr>
          <w:rFonts w:cs="Arial"/>
          <w:sz w:val="22"/>
          <w:szCs w:val="22"/>
        </w:rPr>
        <w:t xml:space="preserve">A subcontratação dos serviços especificados neste apêndice se dá pela necessidade de execução de serviços especiais que demandam mão de obra especializada, sendo a rotina de solicitação esporádica, não há </w:t>
      </w:r>
      <w:proofErr w:type="gramStart"/>
      <w:r>
        <w:rPr>
          <w:rFonts w:cs="Arial"/>
          <w:sz w:val="22"/>
          <w:szCs w:val="22"/>
        </w:rPr>
        <w:t>porque</w:t>
      </w:r>
      <w:proofErr w:type="gramEnd"/>
      <w:r>
        <w:rPr>
          <w:rFonts w:cs="Arial"/>
          <w:sz w:val="22"/>
          <w:szCs w:val="22"/>
        </w:rPr>
        <w:t xml:space="preserve"> manter tais profissionais em regime constante de pagamento, onerando em grande volume o custo mensal do contrato. Com ouso de subcontratação a Caixa poderá dispor de tais serviços quando forem necessários sem que empresa tenha que manter tais profissionais em seu quadro permanente.</w:t>
      </w:r>
    </w:p>
    <w:p w14:paraId="1CC98586" w14:textId="77777777" w:rsidR="00CB2BCC" w:rsidRPr="00570BC8" w:rsidRDefault="00CB2BCC" w:rsidP="003D5884">
      <w:pPr>
        <w:pStyle w:val="nivel2"/>
        <w:rPr>
          <w:rFonts w:cs="Arial"/>
          <w:sz w:val="22"/>
          <w:szCs w:val="22"/>
        </w:rPr>
      </w:pPr>
      <w:r w:rsidRPr="00570BC8">
        <w:rPr>
          <w:rFonts w:cs="Arial"/>
          <w:sz w:val="22"/>
          <w:szCs w:val="22"/>
        </w:rPr>
        <w:t>Os serviços serão executados obedecendo às especificações técnicas constantes nos Cadernos de Diretrizes Técnicas da CAIXA de acordo com as devidas especialidades.</w:t>
      </w:r>
    </w:p>
    <w:p w14:paraId="1CC98587" w14:textId="77777777" w:rsidR="00CB2BCC" w:rsidRPr="00C877C2" w:rsidRDefault="00CB2BCC" w:rsidP="00933931">
      <w:pPr>
        <w:pStyle w:val="Estilonivel2Arial11ptJustificado"/>
        <w:rPr>
          <w:rFonts w:cs="Arial"/>
          <w:sz w:val="22"/>
          <w:szCs w:val="22"/>
        </w:rPr>
      </w:pPr>
      <w:r w:rsidRPr="00C877C2">
        <w:rPr>
          <w:rFonts w:cs="Arial"/>
          <w:sz w:val="22"/>
          <w:szCs w:val="22"/>
        </w:rPr>
        <w:t>Não existe previsão mínima de demanda desse tipo de serviços.</w:t>
      </w:r>
    </w:p>
    <w:p w14:paraId="1CC98588" w14:textId="77777777" w:rsidR="00CB2BCC" w:rsidRPr="00C877C2" w:rsidRDefault="00CB2BCC" w:rsidP="00334FDE">
      <w:pPr>
        <w:pStyle w:val="nivel3"/>
        <w:rPr>
          <w:rFonts w:cs="Arial"/>
          <w:sz w:val="22"/>
          <w:szCs w:val="22"/>
        </w:rPr>
      </w:pPr>
      <w:r w:rsidRPr="00C877C2">
        <w:rPr>
          <w:rFonts w:cs="Arial"/>
          <w:sz w:val="22"/>
          <w:szCs w:val="22"/>
        </w:rPr>
        <w:t>Os serviços serão pagos conforme remuneração contida no APÊNDICE D.</w:t>
      </w:r>
    </w:p>
    <w:p w14:paraId="1CC98589" w14:textId="77777777" w:rsidR="00CB2BCC" w:rsidRPr="00C877C2" w:rsidRDefault="00CB2BCC" w:rsidP="006739F4">
      <w:pPr>
        <w:pStyle w:val="Estilonivel2Arial11ptJustificado"/>
        <w:rPr>
          <w:rFonts w:cs="Arial"/>
          <w:sz w:val="22"/>
          <w:szCs w:val="22"/>
        </w:rPr>
      </w:pPr>
      <w:r w:rsidRPr="00C877C2">
        <w:rPr>
          <w:rFonts w:cs="Arial"/>
          <w:sz w:val="22"/>
          <w:szCs w:val="22"/>
        </w:rPr>
        <w:t>Será permitida a subcontratação dos serviços descritos a seguir desde que fique garantido o atendimento do prazo estabelecido no APÊNDICE D.</w:t>
      </w:r>
    </w:p>
    <w:p w14:paraId="1CC9858A" w14:textId="77777777" w:rsidR="00CB2BCC" w:rsidRPr="00570BC8" w:rsidRDefault="00CB2BCC" w:rsidP="00986C8D">
      <w:pPr>
        <w:pStyle w:val="nivel2"/>
        <w:spacing w:before="120" w:after="120"/>
        <w:rPr>
          <w:rFonts w:cs="Arial"/>
          <w:sz w:val="22"/>
          <w:szCs w:val="22"/>
        </w:rPr>
      </w:pPr>
      <w:r w:rsidRPr="00570BC8">
        <w:rPr>
          <w:rFonts w:cs="Arial"/>
          <w:sz w:val="22"/>
          <w:szCs w:val="22"/>
        </w:rPr>
        <w:t xml:space="preserve">Todos os instrumentos na prestação dos serviços constantes desse contrato deverão ser aferidos com a frequência recomendada pelos fabricantes ou legislações específicas e calibrados por empresas credenciadas pelo INMETRO para tal serviço, devendo ser apresentada, quando solicitada, cópia do certificado à GILOG. </w:t>
      </w:r>
    </w:p>
    <w:p w14:paraId="1CC9858B" w14:textId="77777777" w:rsidR="00CB2BCC" w:rsidRPr="00CA6CAA" w:rsidRDefault="00CB2BCC" w:rsidP="00CA6CAA">
      <w:pPr>
        <w:pStyle w:val="Ttulo3"/>
        <w:rPr>
          <w:rFonts w:cs="Arial"/>
          <w:szCs w:val="22"/>
        </w:rPr>
      </w:pPr>
      <w:r w:rsidRPr="00570BC8">
        <w:t xml:space="preserve">Para execução dos relatórios deverão ser seguidos ainda os princípios gerais para a elaboração e a apresentação de relatório técnico e/ou científico, contidos na NBR-10.719 da ABNT -Associação Brasileira de Normas Técnicas. Essa norma específica os princípios </w:t>
      </w:r>
    </w:p>
    <w:p w14:paraId="1CC9858C" w14:textId="77777777" w:rsidR="00CB2BCC" w:rsidRPr="00570BC8" w:rsidRDefault="00CB2BCC" w:rsidP="00F46C35">
      <w:pPr>
        <w:rPr>
          <w:rFonts w:cs="Arial"/>
          <w:szCs w:val="22"/>
        </w:rPr>
      </w:pPr>
    </w:p>
    <w:p w14:paraId="1CC9858D" w14:textId="77777777" w:rsidR="00CB2BCC" w:rsidRPr="00F5457D" w:rsidRDefault="00CB2BCC" w:rsidP="00A30445">
      <w:pPr>
        <w:pStyle w:val="Estilonivel111ptNegritoesquerdaAntes6ptDepoisde"/>
      </w:pPr>
      <w:bookmarkStart w:id="2" w:name="_Toc385431328"/>
      <w:bookmarkStart w:id="3" w:name="_Toc388003109"/>
      <w:bookmarkStart w:id="4" w:name="_Toc424033878"/>
      <w:bookmarkStart w:id="5" w:name="_Toc476825326"/>
      <w:r w:rsidRPr="00F5457D">
        <w:t>PLANEJAMENTO DE EXECUÇÃO DE SERVIÇOS</w:t>
      </w:r>
      <w:bookmarkEnd w:id="2"/>
      <w:bookmarkEnd w:id="3"/>
      <w:bookmarkEnd w:id="4"/>
      <w:bookmarkEnd w:id="5"/>
    </w:p>
    <w:p w14:paraId="1CC9858E" w14:textId="77777777" w:rsidR="00CB2BCC" w:rsidRPr="00F5457D" w:rsidRDefault="00CB2BCC" w:rsidP="00F46C35">
      <w:pPr>
        <w:pStyle w:val="nivel2"/>
        <w:spacing w:before="120" w:after="120"/>
        <w:rPr>
          <w:rFonts w:cs="Arial"/>
          <w:sz w:val="22"/>
          <w:szCs w:val="22"/>
        </w:rPr>
      </w:pPr>
      <w:r w:rsidRPr="00F5457D">
        <w:rPr>
          <w:rFonts w:cs="Arial"/>
          <w:sz w:val="22"/>
          <w:szCs w:val="22"/>
        </w:rPr>
        <w:t xml:space="preserve">Na execução dos serviços deverá haver planejamento prévio do horário mais conveniente, não impedindo o funcionamento normal da unidade, de acordo com a programação estabelecida. </w:t>
      </w:r>
    </w:p>
    <w:p w14:paraId="1CC9858F" w14:textId="77777777" w:rsidR="00CB2BCC" w:rsidRPr="00F5457D" w:rsidRDefault="00CB2BCC" w:rsidP="00F46C35">
      <w:pPr>
        <w:pStyle w:val="nivel2"/>
        <w:spacing w:before="120" w:after="120"/>
        <w:rPr>
          <w:rFonts w:cs="Arial"/>
          <w:sz w:val="22"/>
          <w:szCs w:val="22"/>
        </w:rPr>
      </w:pPr>
      <w:r w:rsidRPr="00F5457D">
        <w:rPr>
          <w:rFonts w:cs="Arial"/>
          <w:sz w:val="22"/>
          <w:szCs w:val="22"/>
        </w:rPr>
        <w:t xml:space="preserve">Ficam caracterizados como serviços que possam interferir ou trazer transtornos de qualquer natureza ao funcionamento dos ambientes atendidos aqueles que: </w:t>
      </w:r>
    </w:p>
    <w:p w14:paraId="1CC98590" w14:textId="77777777" w:rsidR="00CB2BCC" w:rsidRPr="000408F3" w:rsidRDefault="00CB2BCC" w:rsidP="00122D60">
      <w:pPr>
        <w:pStyle w:val="Ttulo4"/>
        <w:numPr>
          <w:ilvl w:val="0"/>
          <w:numId w:val="6"/>
        </w:numPr>
        <w:rPr>
          <w:rFonts w:cs="Arial"/>
          <w:sz w:val="22"/>
          <w:szCs w:val="22"/>
        </w:rPr>
      </w:pPr>
      <w:r w:rsidRPr="000408F3">
        <w:rPr>
          <w:rFonts w:cs="Arial"/>
          <w:sz w:val="22"/>
          <w:szCs w:val="22"/>
        </w:rPr>
        <w:t>Resultam em parada de funcionamento dos equipamentos do sistema de climatização por período suficiente para elevar a temperatura interna em níveis acima dos parâmetros máximos estabelecidos na norma técnica ABNT 16.401/2008, gerando desconforto térmico aos usuários e desatendimento aos equipamentos dependentes de climatização;</w:t>
      </w:r>
    </w:p>
    <w:p w14:paraId="1CC98591" w14:textId="77777777" w:rsidR="00CB2BCC" w:rsidRPr="000408F3" w:rsidRDefault="00CB2BCC" w:rsidP="00122D60">
      <w:pPr>
        <w:pStyle w:val="Ttulo4"/>
        <w:numPr>
          <w:ilvl w:val="0"/>
          <w:numId w:val="6"/>
        </w:numPr>
        <w:rPr>
          <w:rFonts w:cs="Arial"/>
          <w:sz w:val="22"/>
          <w:szCs w:val="22"/>
        </w:rPr>
      </w:pPr>
      <w:r w:rsidRPr="000408F3">
        <w:rPr>
          <w:rFonts w:cs="Arial"/>
          <w:sz w:val="22"/>
          <w:szCs w:val="22"/>
        </w:rPr>
        <w:t xml:space="preserve">Necessitem de espaço físico em locais de grande concentração momentânea de pessoas, sem condições de remanejamento </w:t>
      </w:r>
      <w:proofErr w:type="gramStart"/>
      <w:r w:rsidRPr="000408F3">
        <w:rPr>
          <w:rFonts w:cs="Arial"/>
          <w:sz w:val="22"/>
          <w:szCs w:val="22"/>
        </w:rPr>
        <w:t>das mesmas</w:t>
      </w:r>
      <w:proofErr w:type="gramEnd"/>
      <w:r w:rsidRPr="000408F3">
        <w:rPr>
          <w:rFonts w:cs="Arial"/>
          <w:sz w:val="22"/>
          <w:szCs w:val="22"/>
        </w:rPr>
        <w:t xml:space="preserve"> para outro local;</w:t>
      </w:r>
    </w:p>
    <w:p w14:paraId="1CC98592" w14:textId="77777777" w:rsidR="00CB2BCC" w:rsidRPr="000408F3" w:rsidRDefault="00CB2BCC" w:rsidP="00122D60">
      <w:pPr>
        <w:pStyle w:val="Ttulo4"/>
        <w:numPr>
          <w:ilvl w:val="0"/>
          <w:numId w:val="6"/>
        </w:numPr>
        <w:rPr>
          <w:rFonts w:cs="Arial"/>
          <w:sz w:val="22"/>
          <w:szCs w:val="22"/>
        </w:rPr>
      </w:pPr>
      <w:r w:rsidRPr="000408F3">
        <w:rPr>
          <w:rFonts w:cs="Arial"/>
          <w:sz w:val="22"/>
          <w:szCs w:val="22"/>
        </w:rPr>
        <w:t>Impliquem em desligamento total ou parcial da energia elétrica da unidade;</w:t>
      </w:r>
    </w:p>
    <w:p w14:paraId="1CC98593" w14:textId="77777777" w:rsidR="00CB2BCC" w:rsidRPr="000408F3" w:rsidRDefault="00CB2BCC" w:rsidP="00122D60">
      <w:pPr>
        <w:pStyle w:val="Ttulo4"/>
        <w:numPr>
          <w:ilvl w:val="0"/>
          <w:numId w:val="6"/>
        </w:numPr>
        <w:rPr>
          <w:rFonts w:cs="Arial"/>
          <w:sz w:val="22"/>
          <w:szCs w:val="22"/>
        </w:rPr>
      </w:pPr>
      <w:r w:rsidRPr="000408F3">
        <w:rPr>
          <w:rFonts w:cs="Arial"/>
          <w:sz w:val="22"/>
          <w:szCs w:val="22"/>
        </w:rPr>
        <w:t>Interfiram no trânsito ou comprometam a segurança física de empregados e clientes da CAIXA;</w:t>
      </w:r>
    </w:p>
    <w:p w14:paraId="1CC98594" w14:textId="77777777" w:rsidR="00CB2BCC" w:rsidRPr="000408F3" w:rsidRDefault="00CB2BCC" w:rsidP="00122D60">
      <w:pPr>
        <w:pStyle w:val="Ttulo4"/>
        <w:numPr>
          <w:ilvl w:val="0"/>
          <w:numId w:val="6"/>
        </w:numPr>
        <w:rPr>
          <w:rFonts w:cs="Arial"/>
          <w:sz w:val="22"/>
          <w:szCs w:val="22"/>
        </w:rPr>
      </w:pPr>
      <w:r w:rsidRPr="000408F3">
        <w:rPr>
          <w:rFonts w:cs="Arial"/>
          <w:sz w:val="22"/>
          <w:szCs w:val="22"/>
        </w:rPr>
        <w:t>Causem grande desconforto a empregados e clientes da CAIXA (barulho, sujidades, odores);</w:t>
      </w:r>
    </w:p>
    <w:p w14:paraId="1CC98595" w14:textId="77777777" w:rsidR="00CB2BCC" w:rsidRPr="000408F3" w:rsidRDefault="00CB2BCC" w:rsidP="00122D60">
      <w:pPr>
        <w:pStyle w:val="Ttulo4"/>
        <w:numPr>
          <w:ilvl w:val="0"/>
          <w:numId w:val="6"/>
        </w:numPr>
        <w:rPr>
          <w:rFonts w:cs="Arial"/>
          <w:sz w:val="22"/>
          <w:szCs w:val="22"/>
        </w:rPr>
      </w:pPr>
      <w:r w:rsidRPr="000408F3">
        <w:rPr>
          <w:rFonts w:cs="Arial"/>
          <w:sz w:val="22"/>
          <w:szCs w:val="22"/>
        </w:rPr>
        <w:t>Qualquer outra intervenção que signifique parada total da unidade ou de serviços essenciais à sua operação.</w:t>
      </w:r>
    </w:p>
    <w:p w14:paraId="1CC98596" w14:textId="77777777" w:rsidR="00CB2BCC" w:rsidRPr="00F5457D" w:rsidRDefault="00CB2BCC" w:rsidP="00F46C35">
      <w:pPr>
        <w:pStyle w:val="Estilonivel2Arial11ptJustificado"/>
        <w:numPr>
          <w:ilvl w:val="0"/>
          <w:numId w:val="0"/>
        </w:numPr>
        <w:ind w:left="1134"/>
        <w:rPr>
          <w:rFonts w:cs="Arial"/>
          <w:sz w:val="22"/>
          <w:szCs w:val="22"/>
        </w:rPr>
      </w:pPr>
    </w:p>
    <w:p w14:paraId="1CC98597" w14:textId="77777777" w:rsidR="00CB2BCC" w:rsidRPr="00F5457D" w:rsidRDefault="00CB2BCC" w:rsidP="00A30445">
      <w:pPr>
        <w:pStyle w:val="Estilonivel111ptNegritoesquerdaAntes6ptDepoisde"/>
      </w:pPr>
      <w:bookmarkStart w:id="6" w:name="_Toc424033879"/>
      <w:bookmarkStart w:id="7" w:name="_Toc476825327"/>
      <w:r w:rsidRPr="00F5457D">
        <w:t>ANÁLISE DA QUALIDADE DO AR INTERIOR</w:t>
      </w:r>
      <w:bookmarkEnd w:id="6"/>
      <w:bookmarkEnd w:id="7"/>
      <w:r w:rsidRPr="00F5457D">
        <w:t xml:space="preserve"> </w:t>
      </w:r>
    </w:p>
    <w:p w14:paraId="1CC98598" w14:textId="77777777" w:rsidR="00CB2BCC" w:rsidRPr="00F5457D" w:rsidRDefault="00CB2BCC" w:rsidP="00C34194">
      <w:pPr>
        <w:pStyle w:val="nivel2"/>
        <w:rPr>
          <w:rFonts w:cs="Arial"/>
          <w:sz w:val="22"/>
          <w:szCs w:val="22"/>
        </w:rPr>
      </w:pPr>
      <w:r w:rsidRPr="00F5457D">
        <w:rPr>
          <w:rFonts w:cs="Arial"/>
          <w:sz w:val="22"/>
          <w:szCs w:val="22"/>
        </w:rPr>
        <w:t xml:space="preserve">Essa análise visa garantir a qualidade do ar interior nos ambientes climatizados. </w:t>
      </w:r>
    </w:p>
    <w:p w14:paraId="1CC98599" w14:textId="77777777" w:rsidR="00CB2BCC" w:rsidRPr="00F5457D" w:rsidRDefault="00CB2BCC" w:rsidP="00C34194">
      <w:pPr>
        <w:pStyle w:val="nivel2"/>
        <w:rPr>
          <w:rFonts w:cs="Arial"/>
          <w:sz w:val="22"/>
          <w:szCs w:val="22"/>
        </w:rPr>
      </w:pPr>
      <w:r w:rsidRPr="00F5457D">
        <w:rPr>
          <w:rFonts w:cs="Arial"/>
          <w:sz w:val="22"/>
          <w:szCs w:val="22"/>
        </w:rPr>
        <w:t>Caso uma análise do ar apresente resultados fora dos parâmetros normais aceitáveis a CONTRATADA deverá realizar diagnósticos para definição e localização da fonte de contaminação</w:t>
      </w:r>
    </w:p>
    <w:p w14:paraId="1CC9859A" w14:textId="77777777" w:rsidR="00CB2BCC" w:rsidRPr="00F5457D" w:rsidRDefault="00CB2BCC" w:rsidP="00C34194">
      <w:pPr>
        <w:pStyle w:val="nivel2"/>
        <w:numPr>
          <w:ilvl w:val="0"/>
          <w:numId w:val="0"/>
        </w:numPr>
        <w:ind w:left="1134"/>
        <w:rPr>
          <w:rFonts w:cs="Arial"/>
          <w:sz w:val="22"/>
          <w:szCs w:val="22"/>
        </w:rPr>
      </w:pPr>
    </w:p>
    <w:p w14:paraId="1CC9859B" w14:textId="77777777" w:rsidR="00CB2BCC" w:rsidRPr="00F5457D" w:rsidRDefault="00CB2BCC" w:rsidP="00C34194">
      <w:pPr>
        <w:pStyle w:val="nivel2"/>
        <w:rPr>
          <w:rFonts w:cs="Arial"/>
          <w:sz w:val="22"/>
          <w:szCs w:val="22"/>
        </w:rPr>
      </w:pPr>
      <w:r w:rsidRPr="00F5457D">
        <w:rPr>
          <w:rFonts w:cs="Arial"/>
          <w:sz w:val="22"/>
          <w:szCs w:val="22"/>
        </w:rPr>
        <w:t>REFERÊNCIAS NORMATIVAS</w:t>
      </w:r>
    </w:p>
    <w:p w14:paraId="1CC9859C" w14:textId="77777777" w:rsidR="00CB2BCC" w:rsidRPr="00F5457D" w:rsidRDefault="00CB2BCC" w:rsidP="00C34194">
      <w:pPr>
        <w:pStyle w:val="nivel3"/>
        <w:rPr>
          <w:rFonts w:cs="Arial"/>
          <w:sz w:val="22"/>
          <w:szCs w:val="22"/>
        </w:rPr>
      </w:pPr>
      <w:r w:rsidRPr="00F5457D">
        <w:rPr>
          <w:rFonts w:cs="Arial"/>
          <w:sz w:val="22"/>
          <w:szCs w:val="22"/>
        </w:rPr>
        <w:t>NORMA BRASILEIRA ABNT NBR 16401-3:2008. Esta parte 3 da ABNT NBR 16401. Especifica os parâmetros básicos e os requisitos mínimos para sistemas de ar-condicionado, visando à obtenção de qualidade aceitável de ar interior para conforto. Define:</w:t>
      </w:r>
    </w:p>
    <w:p w14:paraId="1CC9859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Vazões mínimas de ar exterior para ventilação; </w:t>
      </w:r>
    </w:p>
    <w:p w14:paraId="1CC9859E"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Níveis mínimos de filtragem do ar; </w:t>
      </w:r>
    </w:p>
    <w:p w14:paraId="1CC9859F"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Requisitos técnicos dos sistemas e componentes relativos à qualidade do ar interior.</w:t>
      </w:r>
    </w:p>
    <w:p w14:paraId="1CC985A0" w14:textId="77777777" w:rsidR="00CB2BCC" w:rsidRPr="00F5457D" w:rsidRDefault="00CB2BCC" w:rsidP="00C34194">
      <w:pPr>
        <w:pStyle w:val="nivel3"/>
        <w:rPr>
          <w:rFonts w:cs="Arial"/>
          <w:sz w:val="22"/>
          <w:szCs w:val="22"/>
        </w:rPr>
      </w:pPr>
      <w:r w:rsidRPr="00F5457D">
        <w:rPr>
          <w:rFonts w:cs="Arial"/>
          <w:sz w:val="22"/>
          <w:szCs w:val="22"/>
        </w:rPr>
        <w:t xml:space="preserve">Portaria GM/MS N° 3.523 de 28 de </w:t>
      </w:r>
      <w:proofErr w:type="gramStart"/>
      <w:r w:rsidRPr="00F5457D">
        <w:rPr>
          <w:rFonts w:cs="Arial"/>
          <w:sz w:val="22"/>
          <w:szCs w:val="22"/>
        </w:rPr>
        <w:t>Agosto</w:t>
      </w:r>
      <w:proofErr w:type="gramEnd"/>
      <w:r w:rsidRPr="00F5457D">
        <w:rPr>
          <w:rFonts w:cs="Arial"/>
          <w:sz w:val="22"/>
          <w:szCs w:val="22"/>
        </w:rPr>
        <w:t xml:space="preserve"> de 1998 do Ministério de Saúde. Aprovar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Qualidade do Ar de Interiores e prevenção de riscos à saúde dos ocupantes de ambientes climatizados. Determinar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CC985A1" w14:textId="77777777" w:rsidR="00CB2BCC" w:rsidRPr="00F5457D" w:rsidRDefault="00CB2BCC" w:rsidP="00C34194">
      <w:pPr>
        <w:pStyle w:val="nivel3"/>
        <w:rPr>
          <w:rFonts w:cs="Arial"/>
          <w:sz w:val="22"/>
          <w:szCs w:val="22"/>
        </w:rPr>
      </w:pPr>
      <w:r w:rsidRPr="00F5457D">
        <w:rPr>
          <w:rFonts w:cs="Arial"/>
          <w:sz w:val="22"/>
          <w:szCs w:val="22"/>
        </w:rPr>
        <w:t>Resolução RE-09:2003 Agência Nacional De Vigilância. Orientação Técnica sobre Padrões Referenciais de Qualidade do Ar Interior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CC985A2" w14:textId="77777777" w:rsidR="00CB2BCC" w:rsidRPr="00F5457D" w:rsidRDefault="00CB2BCC" w:rsidP="00C34194">
      <w:pPr>
        <w:pStyle w:val="nivel3"/>
        <w:rPr>
          <w:rFonts w:cs="Arial"/>
          <w:sz w:val="22"/>
          <w:szCs w:val="22"/>
        </w:rPr>
      </w:pPr>
      <w:r w:rsidRPr="00F5457D">
        <w:rPr>
          <w:rFonts w:cs="Arial"/>
          <w:sz w:val="22"/>
          <w:szCs w:val="22"/>
        </w:rPr>
        <w:t xml:space="preserve">Standard 62 da ASHRAE. Especifica os parâmetros básicos e os requisitos mínimos para sistemas de ar-condicionado, visando à obtenção de qualidade aceitável de ar interior para conforto. </w:t>
      </w:r>
    </w:p>
    <w:p w14:paraId="1CC985A3" w14:textId="77777777" w:rsidR="00CB2BCC" w:rsidRPr="00F5457D" w:rsidRDefault="00CB2BCC" w:rsidP="00C34194">
      <w:pPr>
        <w:pStyle w:val="nivel2"/>
        <w:numPr>
          <w:ilvl w:val="0"/>
          <w:numId w:val="0"/>
        </w:numPr>
        <w:ind w:left="1134"/>
        <w:rPr>
          <w:rFonts w:cs="Arial"/>
          <w:sz w:val="22"/>
          <w:szCs w:val="22"/>
        </w:rPr>
      </w:pPr>
    </w:p>
    <w:p w14:paraId="1CC985A4" w14:textId="77777777" w:rsidR="00CB2BCC" w:rsidRPr="00F5457D" w:rsidRDefault="00CB2BCC" w:rsidP="00C34194">
      <w:pPr>
        <w:pStyle w:val="Ttulo2"/>
        <w:rPr>
          <w:rFonts w:cs="Arial"/>
          <w:sz w:val="22"/>
          <w:szCs w:val="22"/>
        </w:rPr>
      </w:pPr>
      <w:r w:rsidRPr="00F5457D">
        <w:rPr>
          <w:rFonts w:cs="Arial"/>
          <w:sz w:val="22"/>
          <w:szCs w:val="22"/>
        </w:rPr>
        <w:t>PROCEDIMENTOS GERAIS</w:t>
      </w:r>
    </w:p>
    <w:p w14:paraId="1CC985A5" w14:textId="77777777" w:rsidR="00CB2BCC" w:rsidRPr="00F5457D" w:rsidRDefault="00CB2BCC" w:rsidP="00C34194">
      <w:pPr>
        <w:pStyle w:val="Ttulo3"/>
        <w:rPr>
          <w:rFonts w:cs="Arial"/>
          <w:sz w:val="22"/>
          <w:szCs w:val="22"/>
        </w:rPr>
      </w:pPr>
      <w:r w:rsidRPr="00F5457D">
        <w:rPr>
          <w:rFonts w:cs="Arial"/>
          <w:sz w:val="22"/>
          <w:szCs w:val="22"/>
        </w:rPr>
        <w:t>Todos os procedimentos devem estar de acordo com as normas vigentes</w:t>
      </w:r>
    </w:p>
    <w:p w14:paraId="1CC985A6" w14:textId="77777777" w:rsidR="00CB2BCC" w:rsidRPr="00F5457D" w:rsidRDefault="00CB2BCC" w:rsidP="00C34194">
      <w:pPr>
        <w:pStyle w:val="Ttulo3"/>
        <w:rPr>
          <w:rFonts w:cs="Arial"/>
          <w:sz w:val="22"/>
          <w:szCs w:val="22"/>
        </w:rPr>
      </w:pPr>
      <w:r w:rsidRPr="00F5457D">
        <w:rPr>
          <w:rFonts w:cs="Arial"/>
          <w:sz w:val="22"/>
          <w:szCs w:val="22"/>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p>
    <w:p w14:paraId="1CC985A7" w14:textId="77777777" w:rsidR="00CB2BCC" w:rsidRPr="00F5457D" w:rsidRDefault="00CB2BCC" w:rsidP="00C34194">
      <w:pPr>
        <w:pStyle w:val="Ttulo3"/>
        <w:rPr>
          <w:rFonts w:cs="Arial"/>
          <w:sz w:val="22"/>
          <w:szCs w:val="22"/>
        </w:rPr>
      </w:pPr>
      <w:r w:rsidRPr="00F5457D">
        <w:rPr>
          <w:rFonts w:cs="Arial"/>
          <w:sz w:val="22"/>
          <w:szCs w:val="22"/>
        </w:rPr>
        <w:t>Todos os resultados devem ser registrados, garantindo a veracidade dos dados coletados e serão mostrados a na emissão do relatório final.</w:t>
      </w:r>
    </w:p>
    <w:p w14:paraId="1CC985A8" w14:textId="77777777" w:rsidR="00CB2BCC" w:rsidRPr="00F5457D" w:rsidRDefault="00CB2BCC" w:rsidP="00C34194">
      <w:pPr>
        <w:pStyle w:val="Ttulo3"/>
        <w:rPr>
          <w:rFonts w:cs="Arial"/>
          <w:sz w:val="22"/>
          <w:szCs w:val="22"/>
        </w:rPr>
      </w:pPr>
      <w:r w:rsidRPr="00F5457D">
        <w:rPr>
          <w:rFonts w:cs="Arial"/>
          <w:sz w:val="22"/>
          <w:szCs w:val="22"/>
        </w:rPr>
        <w:t xml:space="preserve">A empresa CONTRATADA deverá emitir e entregar em meio físico e digital Relatório da análise realizada. </w:t>
      </w:r>
    </w:p>
    <w:p w14:paraId="1CC985A9" w14:textId="77777777" w:rsidR="00CB2BCC" w:rsidRPr="00C877C2" w:rsidRDefault="00CB2BCC" w:rsidP="00962575">
      <w:pPr>
        <w:pStyle w:val="nivel4"/>
        <w:spacing w:before="120" w:after="120"/>
        <w:rPr>
          <w:rFonts w:cs="Arial"/>
          <w:szCs w:val="22"/>
        </w:rPr>
      </w:pPr>
      <w:r w:rsidRPr="00C877C2">
        <w:rPr>
          <w:rFonts w:cs="Arial"/>
          <w:szCs w:val="22"/>
        </w:rPr>
        <w:t>O valor a ser pago para cada vistoria e análise será o mesmo constante do APÊNDICE D deste edital para a Avaliação Técnica e Coleta e Análise microbiológica do ar, devendo a quantidade de amostras ser suficiente para a obtenção do diagnóstico.</w:t>
      </w:r>
    </w:p>
    <w:p w14:paraId="1CC985AA" w14:textId="77777777" w:rsidR="00CB2BCC" w:rsidRPr="00C877C2" w:rsidRDefault="00CB2BCC" w:rsidP="00962575">
      <w:pPr>
        <w:pStyle w:val="nivel4"/>
        <w:spacing w:before="120" w:after="120"/>
        <w:rPr>
          <w:rFonts w:cs="Arial"/>
          <w:szCs w:val="22"/>
        </w:rPr>
      </w:pPr>
      <w:r w:rsidRPr="00C877C2">
        <w:rPr>
          <w:rFonts w:cs="Arial"/>
          <w:szCs w:val="22"/>
        </w:rPr>
        <w:t>Desse modo, como critério para pagamento dos serviços extraordinários, consideram-se as eventuais análises microbiológicas de bioparticulado em dutos e em outras superfícies do ambiente, assim como as da água e biofilme das bandejas com custos equivalentes aos das análises microbiológicas do ar.</w:t>
      </w:r>
    </w:p>
    <w:p w14:paraId="1CC985AB" w14:textId="77777777" w:rsidR="00CB2BCC" w:rsidRPr="00F5457D" w:rsidRDefault="00CB2BCC" w:rsidP="00962575">
      <w:pPr>
        <w:ind w:left="1134" w:hanging="1134"/>
        <w:rPr>
          <w:rFonts w:cs="Arial"/>
          <w:szCs w:val="22"/>
        </w:rPr>
      </w:pPr>
    </w:p>
    <w:p w14:paraId="1CC985AC" w14:textId="77777777" w:rsidR="00CB2BCC" w:rsidRPr="00F5457D" w:rsidRDefault="00CB2BCC">
      <w:pPr>
        <w:pStyle w:val="Ttulo2"/>
        <w:rPr>
          <w:rFonts w:cs="Arial"/>
          <w:sz w:val="22"/>
          <w:szCs w:val="22"/>
          <w:u w:val="single"/>
        </w:rPr>
      </w:pPr>
      <w:r w:rsidRPr="00F5457D">
        <w:rPr>
          <w:rFonts w:cs="Arial"/>
          <w:sz w:val="22"/>
          <w:szCs w:val="22"/>
          <w:u w:val="single"/>
        </w:rPr>
        <w:t>Procedimentos – Verificação de Filtragem, Medição de Vazão de ar exterior para renovação e Concentração de CO2(FVC)</w:t>
      </w:r>
    </w:p>
    <w:p w14:paraId="1CC985AD" w14:textId="77777777" w:rsidR="00CB2BCC" w:rsidRPr="00F5457D" w:rsidRDefault="00CB2BCC">
      <w:pPr>
        <w:pStyle w:val="Ttulo3"/>
        <w:rPr>
          <w:rFonts w:cs="Arial"/>
          <w:sz w:val="22"/>
          <w:szCs w:val="22"/>
        </w:rPr>
      </w:pPr>
      <w:r w:rsidRPr="00F5457D">
        <w:rPr>
          <w:rFonts w:cs="Arial"/>
          <w:sz w:val="22"/>
          <w:szCs w:val="22"/>
        </w:rPr>
        <w:t>Este procedimento será realizado para verificar a vazão de ar de renovação inserida no ambiente climatizado, a concentração de CO2 e a verificação da utilização de filtros adequados com o objetivo de:</w:t>
      </w:r>
    </w:p>
    <w:p w14:paraId="1CC985AE"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monitoramento e controle do processo de renovação de ar em ambientes climatizados</w:t>
      </w:r>
    </w:p>
    <w:p w14:paraId="1CC985AF"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Garantir a adequada renovação do ar de interior dos ambientes climatizados, ou seja, no mínimo de 27m3/h x pessoa.</w:t>
      </w:r>
    </w:p>
    <w:p w14:paraId="1CC985B0"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Garantir que a concentração de CO2 dentro do ambiente não ultrapasse em mais de 700 ppm a concentração no ar exterior.</w:t>
      </w:r>
    </w:p>
    <w:p w14:paraId="1CC985B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Reduzir a concentração no ambiente dos poluentes trazidos do ar exterior e os gerados internamente, os quais são transportados pelo ar recirculado.</w:t>
      </w:r>
    </w:p>
    <w:p w14:paraId="1CC985B2" w14:textId="77777777" w:rsidR="00CB2BCC" w:rsidRPr="00F5457D" w:rsidRDefault="00CB2BCC">
      <w:pPr>
        <w:pStyle w:val="Ttulo3"/>
        <w:rPr>
          <w:rFonts w:cs="Arial"/>
          <w:sz w:val="22"/>
          <w:szCs w:val="22"/>
        </w:rPr>
      </w:pPr>
      <w:r w:rsidRPr="00F5457D">
        <w:rPr>
          <w:rFonts w:cs="Arial"/>
          <w:sz w:val="22"/>
          <w:szCs w:val="22"/>
        </w:rPr>
        <w:t>Inclui:</w:t>
      </w:r>
    </w:p>
    <w:p w14:paraId="1CC985B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Medição da vazão de ar externo (Utilização de Anemômetro digital)</w:t>
      </w:r>
    </w:p>
    <w:p w14:paraId="1CC985B4"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Medição da concentração de CO2 (Utilização de medidor de CO2 digital, sensor infravermelho não dispersivo ou célula eletroquímica, Faixa: de 0 a 5.000 ppm. Exatidão: ± 50 ppm + 2% do valor medido)</w:t>
      </w:r>
    </w:p>
    <w:p w14:paraId="1CC985B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A medição de CO2 deverá ser realizada no interior e no exterior perto da TAE para conseguir comparar os valores. A concentração de CO2 no interior do ambiente, não deve ultrapassar em mais de 700 ppm a concentração no ar exterior (Normalmente a concentração de CO2 no ar exterior oscila entre 400 ppm a 600 ppm). </w:t>
      </w:r>
    </w:p>
    <w:p w14:paraId="1CC985B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Verificação visual da utilização de filtros Classe G4+F5 na entrada de ar do equipamento de climatização, a montante das serpentinas de troca de calor;</w:t>
      </w:r>
    </w:p>
    <w:p w14:paraId="1CC985B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Verificação visual da utilização de filtros Classe G4 na Tomada de Ar Externa (Entrada do ar de renovação). </w:t>
      </w:r>
    </w:p>
    <w:p w14:paraId="1CC985B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Nos casos de retorno de ar pelo entre forro deverá ser verificada a instalação de filtro nos registros de retorno.</w:t>
      </w:r>
    </w:p>
    <w:p w14:paraId="1CC985B9" w14:textId="77777777" w:rsidR="00CB2BCC" w:rsidRPr="00F5457D" w:rsidRDefault="00CB2BCC" w:rsidP="00D944D5">
      <w:pPr>
        <w:rPr>
          <w:rFonts w:cs="Arial"/>
          <w:szCs w:val="22"/>
        </w:rPr>
      </w:pPr>
    </w:p>
    <w:p w14:paraId="1CC985BA" w14:textId="77777777" w:rsidR="00CB2BCC" w:rsidRPr="00F5457D" w:rsidRDefault="00CB2BCC">
      <w:pPr>
        <w:pStyle w:val="Ttulo2"/>
        <w:rPr>
          <w:rFonts w:cs="Arial"/>
          <w:sz w:val="22"/>
          <w:szCs w:val="22"/>
          <w:u w:val="single"/>
        </w:rPr>
      </w:pPr>
      <w:r w:rsidRPr="00F5457D">
        <w:rPr>
          <w:rFonts w:cs="Arial"/>
          <w:sz w:val="22"/>
          <w:szCs w:val="22"/>
          <w:u w:val="single"/>
        </w:rPr>
        <w:t xml:space="preserve">Procedimentos – Controle Microbiológico das </w:t>
      </w:r>
      <w:proofErr w:type="gramStart"/>
      <w:r w:rsidRPr="00F5457D">
        <w:rPr>
          <w:rFonts w:cs="Arial"/>
          <w:sz w:val="22"/>
          <w:szCs w:val="22"/>
          <w:u w:val="single"/>
        </w:rPr>
        <w:t>Amostras(</w:t>
      </w:r>
      <w:proofErr w:type="gramEnd"/>
      <w:r w:rsidRPr="00F5457D">
        <w:rPr>
          <w:rFonts w:cs="Arial"/>
          <w:sz w:val="22"/>
          <w:szCs w:val="22"/>
          <w:u w:val="single"/>
        </w:rPr>
        <w:t>CMA)</w:t>
      </w:r>
    </w:p>
    <w:p w14:paraId="1CC985BB" w14:textId="77777777" w:rsidR="00CB2BCC" w:rsidRPr="00F5457D" w:rsidRDefault="00CB2BCC">
      <w:pPr>
        <w:pStyle w:val="Ttulo3"/>
        <w:rPr>
          <w:rFonts w:cs="Arial"/>
          <w:sz w:val="22"/>
          <w:szCs w:val="22"/>
        </w:rPr>
      </w:pPr>
      <w:r w:rsidRPr="00F5457D">
        <w:rPr>
          <w:rFonts w:cs="Arial"/>
          <w:sz w:val="22"/>
          <w:szCs w:val="22"/>
        </w:rPr>
        <w:t>Este procedimento será realizado com as amostras de ar interno, externo, insuflado através de redes de dutos, de retorno e de mistura nas casas de máquinas, de acordo com a configuração do sistema de climatização com Objetivo de:</w:t>
      </w:r>
    </w:p>
    <w:p w14:paraId="1CC985BC"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Quantificar fungos, por se </w:t>
      </w:r>
      <w:proofErr w:type="gramStart"/>
      <w:r w:rsidRPr="00F5457D">
        <w:rPr>
          <w:rFonts w:cs="Arial"/>
          <w:sz w:val="22"/>
          <w:szCs w:val="22"/>
        </w:rPr>
        <w:t>tratarem</w:t>
      </w:r>
      <w:proofErr w:type="gramEnd"/>
      <w:r w:rsidRPr="00F5457D">
        <w:rPr>
          <w:rFonts w:cs="Arial"/>
          <w:sz w:val="22"/>
          <w:szCs w:val="22"/>
        </w:rPr>
        <w:t xml:space="preserve"> de marcadores epidemiológicos da qualidade do ar segundo as varáveis do sistema de climatização, permitindo avaliar fontes primárias, secundárias e terciárias. Avaliação Microbiologica dos dutos </w:t>
      </w:r>
    </w:p>
    <w:p w14:paraId="1CC985BD" w14:textId="77777777" w:rsidR="00CB2BCC" w:rsidRPr="00F5457D" w:rsidRDefault="00CB2BCC">
      <w:pPr>
        <w:pStyle w:val="Ttulo3"/>
        <w:rPr>
          <w:rFonts w:cs="Arial"/>
          <w:sz w:val="22"/>
          <w:szCs w:val="22"/>
        </w:rPr>
      </w:pPr>
      <w:r w:rsidRPr="00F5457D">
        <w:rPr>
          <w:rFonts w:cs="Arial"/>
          <w:sz w:val="22"/>
          <w:szCs w:val="22"/>
        </w:rPr>
        <w:t>Inclui:</w:t>
      </w:r>
    </w:p>
    <w:p w14:paraId="1CC985BE"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Pesquisa de microbiota fúngica (Contagem total diferencial e identificação), CO2, velocidade, umidade e aerodispersoides </w:t>
      </w:r>
    </w:p>
    <w:p w14:paraId="1CC985BF" w14:textId="77777777" w:rsidR="00CB2BCC" w:rsidRPr="00F5457D" w:rsidRDefault="00CB2BCC">
      <w:pPr>
        <w:pStyle w:val="Ttulo2"/>
        <w:rPr>
          <w:rFonts w:cs="Arial"/>
          <w:sz w:val="22"/>
          <w:szCs w:val="22"/>
          <w:u w:val="single"/>
        </w:rPr>
      </w:pPr>
      <w:r w:rsidRPr="00F5457D">
        <w:rPr>
          <w:rFonts w:cs="Arial"/>
          <w:sz w:val="22"/>
          <w:szCs w:val="22"/>
          <w:u w:val="single"/>
        </w:rPr>
        <w:t>Procedimentos – Avaliação Microbiológica das Bandejas de Condicionadores (AM</w:t>
      </w:r>
      <w:r>
        <w:rPr>
          <w:rFonts w:cs="Arial"/>
          <w:sz w:val="22"/>
          <w:szCs w:val="22"/>
          <w:u w:val="single"/>
        </w:rPr>
        <w:t>C</w:t>
      </w:r>
      <w:r w:rsidRPr="00F5457D">
        <w:rPr>
          <w:rFonts w:cs="Arial"/>
          <w:sz w:val="22"/>
          <w:szCs w:val="22"/>
          <w:u w:val="single"/>
        </w:rPr>
        <w:t>)</w:t>
      </w:r>
    </w:p>
    <w:p w14:paraId="1CC985C0" w14:textId="77777777" w:rsidR="00CB2BCC" w:rsidRPr="00F5457D" w:rsidRDefault="00CB2BCC">
      <w:pPr>
        <w:pStyle w:val="Ttulo3"/>
        <w:rPr>
          <w:rFonts w:cs="Arial"/>
          <w:sz w:val="22"/>
          <w:szCs w:val="22"/>
        </w:rPr>
      </w:pPr>
      <w:r w:rsidRPr="00F5457D">
        <w:rPr>
          <w:rFonts w:cs="Arial"/>
          <w:sz w:val="22"/>
          <w:szCs w:val="22"/>
        </w:rPr>
        <w:t>Este procedimento será realizado com amostras coletadas nas bandejas de condensado instaladas nos Condicionadores de ar com Objetivo de:</w:t>
      </w:r>
    </w:p>
    <w:p w14:paraId="1CC985C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Qualificar e quantificar o ecossistema formado na bandeja de condensado, caracterizando a magnitude e complexidade da principal fonte poluente primária no sistema.</w:t>
      </w:r>
    </w:p>
    <w:p w14:paraId="1CC985C2" w14:textId="77777777" w:rsidR="00CB2BCC" w:rsidRPr="00F5457D" w:rsidRDefault="00CB2BCC">
      <w:pPr>
        <w:pStyle w:val="Ttulo3"/>
        <w:rPr>
          <w:rFonts w:cs="Arial"/>
          <w:sz w:val="22"/>
          <w:szCs w:val="22"/>
        </w:rPr>
      </w:pPr>
      <w:r w:rsidRPr="00F5457D">
        <w:rPr>
          <w:rFonts w:cs="Arial"/>
          <w:sz w:val="22"/>
          <w:szCs w:val="22"/>
        </w:rPr>
        <w:t>Inclui:</w:t>
      </w:r>
    </w:p>
    <w:p w14:paraId="1CC985C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de Legionella pneumophila, com indicação de espécie, sorogrupo e do grau de risco de exposição da população à legionelose. (Uma amostra por Bandeja de equipamento)</w:t>
      </w:r>
    </w:p>
    <w:p w14:paraId="1CC985C4" w14:textId="77777777" w:rsidR="00CB2BCC" w:rsidRPr="00F5457D" w:rsidRDefault="00CB2BCC">
      <w:pPr>
        <w:rPr>
          <w:rFonts w:cs="Arial"/>
          <w:szCs w:val="22"/>
        </w:rPr>
      </w:pPr>
    </w:p>
    <w:p w14:paraId="1CC985C5" w14:textId="77777777" w:rsidR="00CB2BCC" w:rsidRPr="00F5457D" w:rsidRDefault="00CB2BCC">
      <w:pPr>
        <w:pStyle w:val="Ttulo2"/>
        <w:rPr>
          <w:rFonts w:cs="Arial"/>
          <w:sz w:val="22"/>
          <w:szCs w:val="22"/>
          <w:u w:val="single"/>
        </w:rPr>
      </w:pPr>
      <w:r w:rsidRPr="00F5457D">
        <w:rPr>
          <w:rFonts w:cs="Arial"/>
          <w:sz w:val="22"/>
          <w:szCs w:val="22"/>
          <w:u w:val="single"/>
        </w:rPr>
        <w:t xml:space="preserve">Procedimentos – Avaliação Microbiológica de </w:t>
      </w:r>
      <w:proofErr w:type="gramStart"/>
      <w:r w:rsidRPr="00F5457D">
        <w:rPr>
          <w:rFonts w:cs="Arial"/>
          <w:sz w:val="22"/>
          <w:szCs w:val="22"/>
          <w:u w:val="single"/>
        </w:rPr>
        <w:t>Superfícies(</w:t>
      </w:r>
      <w:proofErr w:type="gramEnd"/>
      <w:r w:rsidRPr="00F5457D">
        <w:rPr>
          <w:rFonts w:cs="Arial"/>
          <w:sz w:val="22"/>
          <w:szCs w:val="22"/>
          <w:u w:val="single"/>
        </w:rPr>
        <w:t>AMS)</w:t>
      </w:r>
    </w:p>
    <w:p w14:paraId="1CC985C6" w14:textId="77777777" w:rsidR="00CB2BCC" w:rsidRPr="00F5457D" w:rsidRDefault="00CB2BCC">
      <w:pPr>
        <w:pStyle w:val="Ttulo3"/>
        <w:rPr>
          <w:rFonts w:cs="Arial"/>
          <w:sz w:val="22"/>
          <w:szCs w:val="22"/>
        </w:rPr>
      </w:pPr>
      <w:r w:rsidRPr="00F5457D">
        <w:rPr>
          <w:rFonts w:cs="Arial"/>
          <w:sz w:val="22"/>
          <w:szCs w:val="22"/>
        </w:rPr>
        <w:t>Este procedimento será realizado com amostras coletadas na superfície dos mobiliários (mesas, cadeiras, armários, carpete) com Objetivo de:</w:t>
      </w:r>
    </w:p>
    <w:p w14:paraId="1CC985C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Quantificar os níveis residuais advindos da fonte terciária contaminante (Mobiliários e outros componentes nos ambientes climatizados). Comparar a qualidade da limpeza do carpete e a limpeza dos filtros do sistema de climatização. (Deverá ser feita uma tomada de mostras antes e depois da manutenção e limpeza)</w:t>
      </w:r>
    </w:p>
    <w:p w14:paraId="1CC985C8" w14:textId="77777777" w:rsidR="00CB2BCC" w:rsidRPr="00F5457D" w:rsidRDefault="00CB2BCC">
      <w:pPr>
        <w:pStyle w:val="Ttulo3"/>
        <w:rPr>
          <w:rFonts w:cs="Arial"/>
          <w:sz w:val="22"/>
          <w:szCs w:val="22"/>
        </w:rPr>
      </w:pPr>
      <w:r w:rsidRPr="00F5457D">
        <w:rPr>
          <w:rFonts w:cs="Arial"/>
          <w:sz w:val="22"/>
          <w:szCs w:val="22"/>
        </w:rPr>
        <w:t>Inclui:</w:t>
      </w:r>
    </w:p>
    <w:p w14:paraId="1CC985C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Contagem de Bactérias Mesófilas; </w:t>
      </w:r>
    </w:p>
    <w:p w14:paraId="1CC985C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Totais Aeróbias</w:t>
      </w:r>
    </w:p>
    <w:p w14:paraId="1CC985CB"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de Coliformes Termotolerantes</w:t>
      </w:r>
    </w:p>
    <w:p w14:paraId="1CC985CC" w14:textId="77777777" w:rsidR="00CB2BCC" w:rsidRPr="00F5457D" w:rsidRDefault="00CB2BCC" w:rsidP="00C34194">
      <w:pPr>
        <w:rPr>
          <w:rFonts w:cs="Arial"/>
          <w:szCs w:val="22"/>
        </w:rPr>
      </w:pPr>
    </w:p>
    <w:p w14:paraId="1CC985CD" w14:textId="77777777" w:rsidR="00CB2BCC" w:rsidRPr="00F5457D" w:rsidRDefault="00CB2BCC" w:rsidP="00A30445">
      <w:pPr>
        <w:pStyle w:val="Estilonivel111ptNegritoesquerdaAntes6ptDepoisde"/>
      </w:pPr>
      <w:bookmarkStart w:id="8" w:name="_Toc424033880"/>
      <w:bookmarkStart w:id="9" w:name="_Toc476825328"/>
      <w:r w:rsidRPr="00F5457D">
        <w:t>ANÁLISE FÍSICO-QUÍMICO DA ÁGUA</w:t>
      </w:r>
      <w:bookmarkEnd w:id="8"/>
      <w:bookmarkEnd w:id="9"/>
      <w:r w:rsidRPr="00F5457D">
        <w:t xml:space="preserve"> </w:t>
      </w:r>
    </w:p>
    <w:p w14:paraId="1CC985CE" w14:textId="77777777" w:rsidR="00CB2BCC" w:rsidRPr="00F5457D" w:rsidRDefault="00CB2BCC" w:rsidP="00C34194">
      <w:pPr>
        <w:pStyle w:val="Ttulo2"/>
        <w:rPr>
          <w:rFonts w:cs="Arial"/>
          <w:sz w:val="22"/>
          <w:szCs w:val="22"/>
        </w:rPr>
      </w:pPr>
      <w:r w:rsidRPr="00F5457D">
        <w:rPr>
          <w:rFonts w:cs="Arial"/>
          <w:sz w:val="22"/>
          <w:szCs w:val="22"/>
        </w:rPr>
        <w:t xml:space="preserve">Essa análise visa avaliar o tratamento da água de resfriamento e água de condensação dos sistemas de climatização, </w:t>
      </w:r>
    </w:p>
    <w:p w14:paraId="1CC985CF" w14:textId="77777777" w:rsidR="00CB2BCC" w:rsidRPr="00F5457D" w:rsidRDefault="00CB2BCC" w:rsidP="00C34194">
      <w:pPr>
        <w:pStyle w:val="Ttulo2"/>
        <w:rPr>
          <w:rFonts w:cs="Arial"/>
          <w:sz w:val="22"/>
          <w:szCs w:val="22"/>
        </w:rPr>
      </w:pPr>
      <w:r w:rsidRPr="00F5457D">
        <w:rPr>
          <w:rFonts w:cs="Arial"/>
          <w:sz w:val="22"/>
          <w:szCs w:val="22"/>
        </w:rPr>
        <w:t>Caso uma análise dos parâmetros de tratamento físico-químico da água apresente resultados fora dos parâmetros normais aceitáveis indicados neste procedimento, a CONTRATADA deverá realizar diagnósticos para definição e localização do problema</w:t>
      </w:r>
    </w:p>
    <w:p w14:paraId="1CC985D0" w14:textId="77777777" w:rsidR="00CB2BCC" w:rsidRPr="00F5457D" w:rsidRDefault="00CB2BCC" w:rsidP="00C34194">
      <w:pPr>
        <w:pStyle w:val="Ttulo2"/>
        <w:rPr>
          <w:rFonts w:cs="Arial"/>
          <w:sz w:val="22"/>
          <w:szCs w:val="22"/>
        </w:rPr>
      </w:pPr>
      <w:r w:rsidRPr="00F5457D">
        <w:rPr>
          <w:rFonts w:cs="Arial"/>
          <w:sz w:val="22"/>
          <w:szCs w:val="22"/>
        </w:rPr>
        <w:t xml:space="preserve">O tratamento da água de resfriamento pode ser feito com o emprego de diversas técnicas e métodos, sejam eles químicos, físicos ou uma combinação de ambos. </w:t>
      </w:r>
    </w:p>
    <w:p w14:paraId="1CC985D1" w14:textId="77777777" w:rsidR="00CB2BCC" w:rsidRPr="00F5457D" w:rsidRDefault="00CB2BCC" w:rsidP="00C34194">
      <w:pPr>
        <w:pStyle w:val="Ttulo2"/>
        <w:rPr>
          <w:rFonts w:cs="Arial"/>
          <w:sz w:val="22"/>
          <w:szCs w:val="22"/>
        </w:rPr>
      </w:pPr>
      <w:r w:rsidRPr="00F5457D">
        <w:rPr>
          <w:rFonts w:cs="Arial"/>
          <w:sz w:val="22"/>
          <w:szCs w:val="22"/>
        </w:rPr>
        <w:t xml:space="preserve">O melhor método a ser recomendado detalhadamente em relatório a ser entregue no quando da conclusão do serviço deve se basear na sua eficiência e, evidentemente, no seu custo fixo e operacional. </w:t>
      </w:r>
    </w:p>
    <w:p w14:paraId="1CC985D2" w14:textId="77777777" w:rsidR="00CB2BCC" w:rsidRPr="00F5457D" w:rsidRDefault="00CB2BCC" w:rsidP="00C34194">
      <w:pPr>
        <w:pStyle w:val="Ttulo2"/>
        <w:rPr>
          <w:rFonts w:cs="Arial"/>
          <w:sz w:val="22"/>
          <w:szCs w:val="22"/>
        </w:rPr>
      </w:pPr>
      <w:r w:rsidRPr="00F5457D">
        <w:rPr>
          <w:rFonts w:cs="Arial"/>
          <w:sz w:val="22"/>
          <w:szCs w:val="22"/>
        </w:rPr>
        <w:t xml:space="preserve">Deve-se, também, levar em consideração os efeitos ambientais e respectiva legislação de controle. Fundamentalmente, os objetivos do tratamento da água de resfriamento são: </w:t>
      </w:r>
    </w:p>
    <w:p w14:paraId="1CC985D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Evitar a formação de incrustações </w:t>
      </w:r>
    </w:p>
    <w:p w14:paraId="1CC985D4"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Minimizar os processos corrosivos </w:t>
      </w:r>
    </w:p>
    <w:p w14:paraId="1CC985D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Controlar o desenvolvimento microbiológico </w:t>
      </w:r>
    </w:p>
    <w:p w14:paraId="1CC985D6" w14:textId="77777777" w:rsidR="00CB2BCC" w:rsidRPr="00F5457D" w:rsidRDefault="00CB2BCC" w:rsidP="006E3BF2">
      <w:pPr>
        <w:spacing w:line="276" w:lineRule="auto"/>
        <w:ind w:left="720"/>
        <w:rPr>
          <w:rFonts w:cs="Arial"/>
          <w:szCs w:val="22"/>
        </w:rPr>
      </w:pPr>
    </w:p>
    <w:p w14:paraId="1CC985D7" w14:textId="77777777" w:rsidR="00CB2BCC" w:rsidRPr="00F5457D" w:rsidRDefault="00CB2BCC" w:rsidP="00C34194">
      <w:pPr>
        <w:pStyle w:val="Ttulo2"/>
        <w:rPr>
          <w:rFonts w:cs="Arial"/>
          <w:b/>
          <w:sz w:val="22"/>
          <w:szCs w:val="22"/>
        </w:rPr>
      </w:pPr>
      <w:r w:rsidRPr="00F5457D">
        <w:rPr>
          <w:rFonts w:cs="Arial"/>
          <w:sz w:val="22"/>
          <w:szCs w:val="22"/>
        </w:rPr>
        <w:t>REFERÊNCIAS NORMATIVAS</w:t>
      </w:r>
    </w:p>
    <w:p w14:paraId="1CC985D8" w14:textId="77777777" w:rsidR="00CB2BCC" w:rsidRPr="00F5457D" w:rsidRDefault="00CB2BCC" w:rsidP="00C34194">
      <w:pPr>
        <w:pStyle w:val="Ttulo3"/>
        <w:rPr>
          <w:rFonts w:cs="Arial"/>
          <w:sz w:val="22"/>
          <w:szCs w:val="22"/>
        </w:rPr>
      </w:pPr>
      <w:r w:rsidRPr="00F5457D">
        <w:rPr>
          <w:rFonts w:cs="Arial"/>
          <w:sz w:val="22"/>
          <w:szCs w:val="22"/>
        </w:rPr>
        <w:t xml:space="preserve">NORMA TÉCNICA L5.201: </w:t>
      </w:r>
      <w:proofErr w:type="gramStart"/>
      <w:r w:rsidRPr="00F5457D">
        <w:rPr>
          <w:rFonts w:cs="Arial"/>
          <w:sz w:val="22"/>
          <w:szCs w:val="22"/>
        </w:rPr>
        <w:t>Janeiro</w:t>
      </w:r>
      <w:proofErr w:type="gramEnd"/>
      <w:r w:rsidRPr="00F5457D">
        <w:rPr>
          <w:rFonts w:cs="Arial"/>
          <w:sz w:val="22"/>
          <w:szCs w:val="22"/>
        </w:rPr>
        <w:t xml:space="preserve">/2006: Esta Norma estabelece a Contagem de bactérias heterotróficas, método de ensaio </w:t>
      </w:r>
    </w:p>
    <w:p w14:paraId="1CC985D9" w14:textId="77777777" w:rsidR="00CB2BCC" w:rsidRPr="00F5457D" w:rsidRDefault="00CB2BCC" w:rsidP="00C34194">
      <w:pPr>
        <w:rPr>
          <w:rFonts w:cs="Arial"/>
          <w:szCs w:val="22"/>
        </w:rPr>
      </w:pPr>
    </w:p>
    <w:p w14:paraId="1CC985DA" w14:textId="77777777" w:rsidR="00CB2BCC" w:rsidRPr="00F5457D" w:rsidRDefault="00CB2BCC" w:rsidP="00C34194">
      <w:pPr>
        <w:pStyle w:val="Ttulo2"/>
        <w:rPr>
          <w:rFonts w:cs="Arial"/>
          <w:b/>
          <w:sz w:val="22"/>
          <w:szCs w:val="22"/>
        </w:rPr>
      </w:pPr>
      <w:r w:rsidRPr="00F5457D">
        <w:rPr>
          <w:rFonts w:cs="Arial"/>
          <w:sz w:val="22"/>
          <w:szCs w:val="22"/>
        </w:rPr>
        <w:t>PROCEDIMENTOS GERAIS</w:t>
      </w:r>
    </w:p>
    <w:p w14:paraId="1CC985DB" w14:textId="77777777" w:rsidR="00CB2BCC" w:rsidRPr="00F5457D" w:rsidRDefault="00CB2BCC" w:rsidP="00C34194">
      <w:pPr>
        <w:pStyle w:val="Ttulo3"/>
        <w:rPr>
          <w:rFonts w:cs="Arial"/>
          <w:sz w:val="22"/>
          <w:szCs w:val="22"/>
        </w:rPr>
      </w:pPr>
      <w:r w:rsidRPr="00F5457D">
        <w:rPr>
          <w:rFonts w:cs="Arial"/>
          <w:sz w:val="22"/>
          <w:szCs w:val="22"/>
        </w:rPr>
        <w:t>Todos os procedimentos devem estar de acordo com as normas vigentes</w:t>
      </w:r>
    </w:p>
    <w:p w14:paraId="1CC985DC" w14:textId="77777777" w:rsidR="00CB2BCC" w:rsidRPr="00F5457D" w:rsidRDefault="00CB2BCC" w:rsidP="00C34194">
      <w:pPr>
        <w:pStyle w:val="Ttulo3"/>
        <w:rPr>
          <w:rFonts w:cs="Arial"/>
          <w:sz w:val="22"/>
          <w:szCs w:val="22"/>
        </w:rPr>
      </w:pPr>
      <w:r w:rsidRPr="00F5457D">
        <w:rPr>
          <w:rFonts w:cs="Arial"/>
          <w:sz w:val="22"/>
          <w:szCs w:val="22"/>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p>
    <w:p w14:paraId="1CC985DD" w14:textId="77777777" w:rsidR="00CB2BCC" w:rsidRPr="00F5457D" w:rsidRDefault="00CB2BCC" w:rsidP="00C34194">
      <w:pPr>
        <w:pStyle w:val="Ttulo3"/>
        <w:rPr>
          <w:rFonts w:cs="Arial"/>
          <w:sz w:val="22"/>
          <w:szCs w:val="22"/>
        </w:rPr>
      </w:pPr>
      <w:r w:rsidRPr="00F5457D">
        <w:rPr>
          <w:rFonts w:cs="Arial"/>
          <w:sz w:val="22"/>
          <w:szCs w:val="22"/>
        </w:rPr>
        <w:t>Todos os resultados devem ser registrados, garantindo a veracidade dos dados coletados e serão mostrados na emissão do relatório final.</w:t>
      </w:r>
    </w:p>
    <w:p w14:paraId="1CC985DE" w14:textId="77777777" w:rsidR="00CB2BCC" w:rsidRPr="00F5457D" w:rsidRDefault="00CB2BCC" w:rsidP="00C34194">
      <w:pPr>
        <w:rPr>
          <w:rFonts w:cs="Arial"/>
          <w:szCs w:val="22"/>
        </w:rPr>
      </w:pPr>
    </w:p>
    <w:p w14:paraId="1CC985DF" w14:textId="77777777" w:rsidR="00CB2BCC" w:rsidRPr="00F5457D" w:rsidRDefault="00CB2BCC" w:rsidP="00C34194">
      <w:pPr>
        <w:pStyle w:val="Ttulo2"/>
        <w:rPr>
          <w:rFonts w:cs="Arial"/>
          <w:sz w:val="22"/>
          <w:szCs w:val="22"/>
          <w:u w:val="single"/>
        </w:rPr>
      </w:pPr>
      <w:r w:rsidRPr="00F5457D">
        <w:rPr>
          <w:rFonts w:cs="Arial"/>
          <w:sz w:val="22"/>
          <w:szCs w:val="22"/>
          <w:u w:val="single"/>
        </w:rPr>
        <w:t xml:space="preserve">Procedimento – Controle Físico-Químico da </w:t>
      </w:r>
      <w:proofErr w:type="gramStart"/>
      <w:r w:rsidRPr="00F5457D">
        <w:rPr>
          <w:rFonts w:cs="Arial"/>
          <w:sz w:val="22"/>
          <w:szCs w:val="22"/>
          <w:u w:val="single"/>
        </w:rPr>
        <w:t>água.(</w:t>
      </w:r>
      <w:proofErr w:type="gramEnd"/>
      <w:r w:rsidRPr="00F5457D">
        <w:rPr>
          <w:rFonts w:cs="Arial"/>
          <w:sz w:val="22"/>
          <w:szCs w:val="22"/>
          <w:u w:val="single"/>
        </w:rPr>
        <w:t>CFQ)</w:t>
      </w:r>
    </w:p>
    <w:p w14:paraId="1CC985E0" w14:textId="77777777" w:rsidR="00CB2BCC" w:rsidRPr="00F5457D" w:rsidRDefault="00CB2BCC" w:rsidP="00C34194">
      <w:pPr>
        <w:pStyle w:val="Ttulo3"/>
        <w:rPr>
          <w:rFonts w:cs="Arial"/>
          <w:sz w:val="22"/>
          <w:szCs w:val="22"/>
        </w:rPr>
      </w:pPr>
      <w:r w:rsidRPr="00F5457D">
        <w:rPr>
          <w:rFonts w:cs="Arial"/>
          <w:sz w:val="22"/>
          <w:szCs w:val="22"/>
        </w:rPr>
        <w:t xml:space="preserve">Este controle é implementado através de análises físico-químicas da água do sistema, com periodicidade conveniente. São feitas análises de pH, alcalinidades, concentração de íons, </w:t>
      </w:r>
      <w:proofErr w:type="gramStart"/>
      <w:r w:rsidRPr="00F5457D">
        <w:rPr>
          <w:rFonts w:cs="Arial"/>
          <w:sz w:val="22"/>
          <w:szCs w:val="22"/>
        </w:rPr>
        <w:t>condutividade, etc.</w:t>
      </w:r>
      <w:proofErr w:type="gramEnd"/>
      <w:r w:rsidRPr="00F5457D">
        <w:rPr>
          <w:rFonts w:cs="Arial"/>
          <w:sz w:val="22"/>
          <w:szCs w:val="22"/>
        </w:rPr>
        <w:t xml:space="preserve"> Os principais itens de controle e sua faixa sugerida estão apresentados na </w:t>
      </w:r>
      <w:r>
        <w:rPr>
          <w:rFonts w:cs="Arial"/>
          <w:sz w:val="22"/>
          <w:szCs w:val="22"/>
        </w:rPr>
        <w:t>Tabela B</w:t>
      </w:r>
      <w:r w:rsidRPr="00F5457D">
        <w:rPr>
          <w:rFonts w:cs="Arial"/>
          <w:sz w:val="22"/>
          <w:szCs w:val="22"/>
        </w:rPr>
        <w:t xml:space="preserve"> 1: C</w:t>
      </w:r>
      <w:r>
        <w:rPr>
          <w:rFonts w:cs="Arial"/>
          <w:sz w:val="22"/>
          <w:szCs w:val="22"/>
        </w:rPr>
        <w:t xml:space="preserve">ontrole Físico-Químico do Tratamento de Água de Resfriamento </w:t>
      </w:r>
      <w:r w:rsidRPr="00F5457D">
        <w:rPr>
          <w:rFonts w:cs="Arial"/>
          <w:sz w:val="22"/>
          <w:szCs w:val="22"/>
        </w:rPr>
        <w:t>com Objetivo de:</w:t>
      </w:r>
    </w:p>
    <w:p w14:paraId="1CC985E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Avaliação das condições do sistema,</w:t>
      </w:r>
      <w:r>
        <w:rPr>
          <w:rFonts w:cs="Arial"/>
          <w:sz w:val="22"/>
          <w:szCs w:val="22"/>
        </w:rPr>
        <w:t xml:space="preserve"> </w:t>
      </w:r>
      <w:r w:rsidRPr="00F5457D">
        <w:rPr>
          <w:rFonts w:cs="Arial"/>
          <w:sz w:val="22"/>
          <w:szCs w:val="22"/>
        </w:rPr>
        <w:t>seja referente à formação de incrustação, ocorrência de processos corrosivos e do</w:t>
      </w:r>
      <w:r>
        <w:rPr>
          <w:rFonts w:cs="Arial"/>
          <w:sz w:val="22"/>
          <w:szCs w:val="22"/>
        </w:rPr>
        <w:t xml:space="preserve"> desenvolvimento microbiológico.</w:t>
      </w:r>
    </w:p>
    <w:p w14:paraId="1CC985E2" w14:textId="77777777" w:rsidR="00CB2BCC" w:rsidRPr="00F5457D" w:rsidRDefault="00CB2BCC" w:rsidP="00C34194">
      <w:pPr>
        <w:pStyle w:val="Ttulo3"/>
        <w:rPr>
          <w:rFonts w:cs="Arial"/>
          <w:sz w:val="22"/>
          <w:szCs w:val="22"/>
        </w:rPr>
      </w:pPr>
      <w:r w:rsidRPr="00F5457D">
        <w:rPr>
          <w:rFonts w:cs="Arial"/>
          <w:sz w:val="22"/>
          <w:szCs w:val="22"/>
        </w:rPr>
        <w:t>Inclui:</w:t>
      </w:r>
    </w:p>
    <w:p w14:paraId="1CC985E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Análises de pH, Condutividade, alcalinidades, concentração de </w:t>
      </w:r>
      <w:proofErr w:type="gramStart"/>
      <w:r w:rsidRPr="00F5457D">
        <w:rPr>
          <w:rFonts w:cs="Arial"/>
          <w:sz w:val="22"/>
          <w:szCs w:val="22"/>
        </w:rPr>
        <w:t>íons, etc.</w:t>
      </w:r>
      <w:proofErr w:type="gramEnd"/>
      <w:r w:rsidRPr="00F5457D">
        <w:rPr>
          <w:rFonts w:cs="Arial"/>
          <w:sz w:val="22"/>
          <w:szCs w:val="22"/>
        </w:rPr>
        <w:t xml:space="preserve"> Os principais itens de controle e sua faixa sugerida estão apresentados na tabela a seguir:</w:t>
      </w:r>
    </w:p>
    <w:p w14:paraId="1CC985E4" w14:textId="77777777" w:rsidR="00CB2BCC" w:rsidRPr="00570BC8" w:rsidRDefault="00CB2BCC" w:rsidP="00D4466A">
      <w:pPr>
        <w:pStyle w:val="Legenda"/>
        <w:keepNext/>
        <w:jc w:val="center"/>
        <w:rPr>
          <w:rFonts w:cs="Arial"/>
        </w:rPr>
      </w:pPr>
      <w:bookmarkStart w:id="10" w:name="_Toc424033675"/>
      <w:r w:rsidRPr="00570BC8">
        <w:rPr>
          <w:rFonts w:cs="Arial"/>
        </w:rPr>
        <w:t xml:space="preserve">Tabela B </w:t>
      </w:r>
      <w:r w:rsidRPr="00570BC8">
        <w:rPr>
          <w:rFonts w:cs="Arial"/>
        </w:rPr>
        <w:fldChar w:fldCharType="begin"/>
      </w:r>
      <w:r w:rsidRPr="00570BC8">
        <w:rPr>
          <w:rFonts w:cs="Arial"/>
        </w:rPr>
        <w:instrText xml:space="preserve"> SEQ Tabela_B \* ARABIC </w:instrText>
      </w:r>
      <w:r w:rsidRPr="00570BC8">
        <w:rPr>
          <w:rFonts w:cs="Arial"/>
        </w:rPr>
        <w:fldChar w:fldCharType="separate"/>
      </w:r>
      <w:r>
        <w:rPr>
          <w:rFonts w:cs="Arial"/>
          <w:noProof/>
        </w:rPr>
        <w:t>1</w:t>
      </w:r>
      <w:r w:rsidRPr="00570BC8">
        <w:rPr>
          <w:rFonts w:cs="Arial"/>
        </w:rPr>
        <w:fldChar w:fldCharType="end"/>
      </w:r>
      <w:r w:rsidRPr="00570BC8">
        <w:rPr>
          <w:rFonts w:cs="Arial"/>
        </w:rPr>
        <w:t xml:space="preserve"> - Controle físico-químico do tratamento de água de resfriamento</w:t>
      </w:r>
      <w:bookmarkEnd w:id="10"/>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60"/>
        <w:gridCol w:w="5940"/>
      </w:tblGrid>
      <w:tr w:rsidR="00CB2BCC" w:rsidRPr="00570BC8" w14:paraId="1CC985EA" w14:textId="77777777" w:rsidTr="00A30445">
        <w:tc>
          <w:tcPr>
            <w:tcW w:w="1728" w:type="dxa"/>
          </w:tcPr>
          <w:p w14:paraId="1CC985E5" w14:textId="77777777" w:rsidR="00CB2BCC" w:rsidRPr="00570BC8" w:rsidRDefault="00CB2BCC" w:rsidP="00054551">
            <w:pPr>
              <w:rPr>
                <w:rFonts w:cs="Arial"/>
                <w:b/>
                <w:bCs/>
                <w:sz w:val="18"/>
              </w:rPr>
            </w:pPr>
            <w:r w:rsidRPr="00570BC8">
              <w:rPr>
                <w:rFonts w:cs="Arial"/>
                <w:b/>
                <w:bCs/>
                <w:sz w:val="18"/>
              </w:rPr>
              <w:t xml:space="preserve">ITEM DE </w:t>
            </w:r>
          </w:p>
          <w:p w14:paraId="1CC985E6" w14:textId="77777777" w:rsidR="00CB2BCC" w:rsidRPr="00570BC8" w:rsidRDefault="00CB2BCC" w:rsidP="00054551">
            <w:pPr>
              <w:rPr>
                <w:rFonts w:cs="Arial"/>
                <w:b/>
                <w:bCs/>
                <w:sz w:val="18"/>
              </w:rPr>
            </w:pPr>
            <w:r w:rsidRPr="00570BC8">
              <w:rPr>
                <w:rFonts w:cs="Arial"/>
                <w:b/>
                <w:bCs/>
                <w:sz w:val="18"/>
              </w:rPr>
              <w:t xml:space="preserve">CONTROLE </w:t>
            </w:r>
          </w:p>
        </w:tc>
        <w:tc>
          <w:tcPr>
            <w:tcW w:w="1260" w:type="dxa"/>
          </w:tcPr>
          <w:p w14:paraId="1CC985E7" w14:textId="77777777" w:rsidR="00CB2BCC" w:rsidRPr="00570BC8" w:rsidRDefault="00CB2BCC" w:rsidP="00D4466A">
            <w:pPr>
              <w:jc w:val="center"/>
              <w:rPr>
                <w:rFonts w:cs="Arial"/>
                <w:b/>
                <w:bCs/>
                <w:sz w:val="18"/>
              </w:rPr>
            </w:pPr>
            <w:r w:rsidRPr="00570BC8">
              <w:rPr>
                <w:rFonts w:cs="Arial"/>
                <w:b/>
                <w:bCs/>
                <w:sz w:val="18"/>
              </w:rPr>
              <w:t>FAIXA</w:t>
            </w:r>
          </w:p>
          <w:p w14:paraId="1CC985E8" w14:textId="77777777" w:rsidR="00CB2BCC" w:rsidRPr="00570BC8" w:rsidRDefault="00CB2BCC" w:rsidP="00D4466A">
            <w:pPr>
              <w:jc w:val="center"/>
              <w:rPr>
                <w:rFonts w:cs="Arial"/>
                <w:b/>
                <w:bCs/>
                <w:sz w:val="18"/>
              </w:rPr>
            </w:pPr>
            <w:r w:rsidRPr="00570BC8">
              <w:rPr>
                <w:rFonts w:cs="Arial"/>
                <w:b/>
                <w:bCs/>
                <w:sz w:val="18"/>
              </w:rPr>
              <w:t>SUGERIDA</w:t>
            </w:r>
          </w:p>
        </w:tc>
        <w:tc>
          <w:tcPr>
            <w:tcW w:w="5940" w:type="dxa"/>
          </w:tcPr>
          <w:p w14:paraId="1CC985E9" w14:textId="77777777" w:rsidR="00CB2BCC" w:rsidRPr="00570BC8" w:rsidRDefault="00CB2BCC" w:rsidP="00054551">
            <w:pPr>
              <w:rPr>
                <w:rFonts w:cs="Arial"/>
              </w:rPr>
            </w:pPr>
            <w:r w:rsidRPr="00570BC8">
              <w:rPr>
                <w:rFonts w:cs="Arial"/>
                <w:b/>
                <w:bCs/>
                <w:sz w:val="18"/>
              </w:rPr>
              <w:t xml:space="preserve">OBSERVAÇÕES </w:t>
            </w:r>
          </w:p>
        </w:tc>
      </w:tr>
      <w:tr w:rsidR="00CB2BCC" w:rsidRPr="00570BC8" w14:paraId="1CC985EE" w14:textId="77777777" w:rsidTr="00A30445">
        <w:tc>
          <w:tcPr>
            <w:tcW w:w="1728" w:type="dxa"/>
          </w:tcPr>
          <w:p w14:paraId="1CC985EB" w14:textId="77777777" w:rsidR="00CB2BCC" w:rsidRPr="00570BC8" w:rsidRDefault="00CB2BCC" w:rsidP="00054551">
            <w:pPr>
              <w:rPr>
                <w:rFonts w:cs="Arial"/>
                <w:sz w:val="18"/>
              </w:rPr>
            </w:pPr>
            <w:r w:rsidRPr="00570BC8">
              <w:rPr>
                <w:rFonts w:cs="Arial"/>
                <w:sz w:val="18"/>
              </w:rPr>
              <w:t xml:space="preserve">pH </w:t>
            </w:r>
          </w:p>
        </w:tc>
        <w:tc>
          <w:tcPr>
            <w:tcW w:w="1260" w:type="dxa"/>
          </w:tcPr>
          <w:p w14:paraId="1CC985EC" w14:textId="77777777" w:rsidR="00CB2BCC" w:rsidRPr="00570BC8" w:rsidRDefault="00CB2BCC" w:rsidP="00D4466A">
            <w:pPr>
              <w:jc w:val="center"/>
              <w:rPr>
                <w:rFonts w:cs="Arial"/>
                <w:sz w:val="18"/>
              </w:rPr>
            </w:pPr>
            <w:r w:rsidRPr="00570BC8">
              <w:rPr>
                <w:rFonts w:cs="Arial"/>
                <w:sz w:val="18"/>
              </w:rPr>
              <w:t>6,5 – 8,5</w:t>
            </w:r>
          </w:p>
        </w:tc>
        <w:tc>
          <w:tcPr>
            <w:tcW w:w="5940" w:type="dxa"/>
          </w:tcPr>
          <w:p w14:paraId="1CC985ED" w14:textId="77777777" w:rsidR="00CB2BCC" w:rsidRPr="00570BC8" w:rsidRDefault="00CB2BCC" w:rsidP="00054551">
            <w:pPr>
              <w:rPr>
                <w:rFonts w:cs="Arial"/>
              </w:rPr>
            </w:pPr>
            <w:r w:rsidRPr="00570BC8">
              <w:rPr>
                <w:rFonts w:cs="Arial"/>
                <w:sz w:val="18"/>
              </w:rPr>
              <w:t xml:space="preserve">Águas com pH abaixo de 6,5 aumentam a corrosão (ácido). Acima de 8,5, pode causar precipitação de sais e prejudicam a ação dos biocidas. </w:t>
            </w:r>
          </w:p>
        </w:tc>
      </w:tr>
      <w:tr w:rsidR="00CB2BCC" w:rsidRPr="00570BC8" w14:paraId="1CC985F2" w14:textId="77777777" w:rsidTr="00A30445">
        <w:tc>
          <w:tcPr>
            <w:tcW w:w="1728" w:type="dxa"/>
          </w:tcPr>
          <w:p w14:paraId="1CC985EF" w14:textId="77777777" w:rsidR="00CB2BCC" w:rsidRPr="00570BC8" w:rsidRDefault="00CB2BCC" w:rsidP="00054551">
            <w:pPr>
              <w:rPr>
                <w:rFonts w:cs="Arial"/>
                <w:sz w:val="18"/>
              </w:rPr>
            </w:pPr>
            <w:r w:rsidRPr="00570BC8">
              <w:rPr>
                <w:rFonts w:cs="Arial"/>
                <w:sz w:val="18"/>
              </w:rPr>
              <w:t xml:space="preserve">Condutividade (μS/cm) </w:t>
            </w:r>
          </w:p>
        </w:tc>
        <w:tc>
          <w:tcPr>
            <w:tcW w:w="1260" w:type="dxa"/>
          </w:tcPr>
          <w:p w14:paraId="1CC985F0" w14:textId="77777777" w:rsidR="00CB2BCC" w:rsidRPr="00570BC8" w:rsidRDefault="00CB2BCC" w:rsidP="00D4466A">
            <w:pPr>
              <w:jc w:val="center"/>
              <w:rPr>
                <w:rFonts w:cs="Arial"/>
                <w:sz w:val="18"/>
              </w:rPr>
            </w:pPr>
            <w:r w:rsidRPr="00570BC8">
              <w:rPr>
                <w:rFonts w:cs="Arial"/>
                <w:sz w:val="18"/>
              </w:rPr>
              <w:t>Máx. 3000</w:t>
            </w:r>
          </w:p>
        </w:tc>
        <w:tc>
          <w:tcPr>
            <w:tcW w:w="5940" w:type="dxa"/>
          </w:tcPr>
          <w:p w14:paraId="1CC985F1" w14:textId="77777777" w:rsidR="00CB2BCC" w:rsidRPr="00570BC8" w:rsidRDefault="00CB2BCC" w:rsidP="00054551">
            <w:pPr>
              <w:rPr>
                <w:rFonts w:cs="Arial"/>
              </w:rPr>
            </w:pPr>
            <w:r w:rsidRPr="00570BC8">
              <w:rPr>
                <w:rFonts w:cs="Arial"/>
                <w:sz w:val="18"/>
              </w:rPr>
              <w:t xml:space="preserve">Valores elevados de condutividade aceleram os processos corrosivos. Também indicam maior concentração de material dissolvido </w:t>
            </w:r>
          </w:p>
        </w:tc>
      </w:tr>
      <w:tr w:rsidR="00CB2BCC" w:rsidRPr="00570BC8" w14:paraId="1CC985F7" w14:textId="77777777" w:rsidTr="00A30445">
        <w:tc>
          <w:tcPr>
            <w:tcW w:w="1728" w:type="dxa"/>
          </w:tcPr>
          <w:p w14:paraId="1CC985F3" w14:textId="77777777" w:rsidR="00CB2BCC" w:rsidRPr="00570BC8" w:rsidRDefault="00CB2BCC" w:rsidP="00054551">
            <w:pPr>
              <w:rPr>
                <w:rFonts w:cs="Arial"/>
                <w:sz w:val="18"/>
              </w:rPr>
            </w:pPr>
            <w:r w:rsidRPr="00570BC8">
              <w:rPr>
                <w:rFonts w:cs="Arial"/>
                <w:sz w:val="18"/>
              </w:rPr>
              <w:t xml:space="preserve">Alcalinidade Total </w:t>
            </w:r>
          </w:p>
          <w:p w14:paraId="1CC985F4" w14:textId="77777777" w:rsidR="00CB2BCC" w:rsidRPr="00570BC8" w:rsidRDefault="00CB2BCC" w:rsidP="00054551">
            <w:pPr>
              <w:rPr>
                <w:rFonts w:cs="Arial"/>
                <w:sz w:val="18"/>
              </w:rPr>
            </w:pPr>
            <w:r w:rsidRPr="00570BC8">
              <w:rPr>
                <w:rFonts w:cs="Arial"/>
                <w:sz w:val="18"/>
              </w:rPr>
              <w:t xml:space="preserve">(ppm CaCO3) </w:t>
            </w:r>
          </w:p>
        </w:tc>
        <w:tc>
          <w:tcPr>
            <w:tcW w:w="1260" w:type="dxa"/>
          </w:tcPr>
          <w:p w14:paraId="1CC985F5" w14:textId="77777777" w:rsidR="00CB2BCC" w:rsidRPr="00570BC8" w:rsidRDefault="00CB2BCC" w:rsidP="00D4466A">
            <w:pPr>
              <w:jc w:val="center"/>
              <w:rPr>
                <w:rFonts w:cs="Arial"/>
                <w:sz w:val="18"/>
              </w:rPr>
            </w:pPr>
            <w:r w:rsidRPr="00570BC8">
              <w:rPr>
                <w:rFonts w:cs="Arial"/>
                <w:sz w:val="18"/>
              </w:rPr>
              <w:t>Máx. 400</w:t>
            </w:r>
          </w:p>
        </w:tc>
        <w:tc>
          <w:tcPr>
            <w:tcW w:w="5940" w:type="dxa"/>
          </w:tcPr>
          <w:p w14:paraId="1CC985F6" w14:textId="77777777" w:rsidR="00CB2BCC" w:rsidRPr="00570BC8" w:rsidRDefault="00CB2BCC" w:rsidP="00054551">
            <w:pPr>
              <w:rPr>
                <w:rFonts w:cs="Arial"/>
              </w:rPr>
            </w:pPr>
            <w:r w:rsidRPr="00570BC8">
              <w:rPr>
                <w:rFonts w:cs="Arial"/>
                <w:sz w:val="18"/>
              </w:rPr>
              <w:t xml:space="preserve">Alcalinidade elevada indica presença de carbonatos e bicarbonatos, que podem constituir incrustações. </w:t>
            </w:r>
          </w:p>
        </w:tc>
      </w:tr>
      <w:tr w:rsidR="00CB2BCC" w:rsidRPr="00570BC8" w14:paraId="1CC985FC" w14:textId="77777777" w:rsidTr="00A30445">
        <w:tc>
          <w:tcPr>
            <w:tcW w:w="1728" w:type="dxa"/>
          </w:tcPr>
          <w:p w14:paraId="1CC985F8" w14:textId="77777777" w:rsidR="00CB2BCC" w:rsidRPr="00570BC8" w:rsidRDefault="00CB2BCC" w:rsidP="00054551">
            <w:pPr>
              <w:rPr>
                <w:rFonts w:cs="Arial"/>
                <w:sz w:val="18"/>
              </w:rPr>
            </w:pPr>
            <w:r w:rsidRPr="00570BC8">
              <w:rPr>
                <w:rFonts w:cs="Arial"/>
                <w:sz w:val="18"/>
              </w:rPr>
              <w:t>Sólidos Totais Dissolvidos</w:t>
            </w:r>
          </w:p>
          <w:p w14:paraId="1CC985F9" w14:textId="77777777" w:rsidR="00CB2BCC" w:rsidRPr="00570BC8" w:rsidRDefault="00CB2BCC" w:rsidP="00054551">
            <w:pPr>
              <w:rPr>
                <w:rFonts w:cs="Arial"/>
                <w:sz w:val="18"/>
              </w:rPr>
            </w:pPr>
            <w:r w:rsidRPr="00570BC8">
              <w:rPr>
                <w:rFonts w:cs="Arial"/>
                <w:sz w:val="18"/>
              </w:rPr>
              <w:t>(ppm STD)</w:t>
            </w:r>
          </w:p>
        </w:tc>
        <w:tc>
          <w:tcPr>
            <w:tcW w:w="1260" w:type="dxa"/>
          </w:tcPr>
          <w:p w14:paraId="1CC985FA" w14:textId="77777777" w:rsidR="00CB2BCC" w:rsidRPr="00570BC8" w:rsidRDefault="00CB2BCC" w:rsidP="00D4466A">
            <w:pPr>
              <w:jc w:val="center"/>
              <w:rPr>
                <w:rFonts w:cs="Arial"/>
                <w:sz w:val="18"/>
              </w:rPr>
            </w:pPr>
            <w:r w:rsidRPr="00570BC8">
              <w:rPr>
                <w:rFonts w:cs="Arial"/>
                <w:sz w:val="18"/>
              </w:rPr>
              <w:t>Máx. 2800</w:t>
            </w:r>
          </w:p>
        </w:tc>
        <w:tc>
          <w:tcPr>
            <w:tcW w:w="5940" w:type="dxa"/>
          </w:tcPr>
          <w:p w14:paraId="1CC985FB" w14:textId="77777777" w:rsidR="00CB2BCC" w:rsidRPr="00570BC8" w:rsidRDefault="00CB2BCC" w:rsidP="00054551">
            <w:pPr>
              <w:rPr>
                <w:rFonts w:cs="Arial"/>
              </w:rPr>
            </w:pPr>
            <w:r w:rsidRPr="00570BC8">
              <w:rPr>
                <w:rFonts w:cs="Arial"/>
                <w:sz w:val="18"/>
              </w:rPr>
              <w:t xml:space="preserve">Valores elevados de sólidos dissolvidos indicam tendência incrustante da água. </w:t>
            </w:r>
          </w:p>
        </w:tc>
      </w:tr>
      <w:tr w:rsidR="00CB2BCC" w:rsidRPr="00570BC8" w14:paraId="1CC98600" w14:textId="77777777" w:rsidTr="00A30445">
        <w:tc>
          <w:tcPr>
            <w:tcW w:w="1728" w:type="dxa"/>
          </w:tcPr>
          <w:p w14:paraId="1CC985FD" w14:textId="77777777" w:rsidR="00CB2BCC" w:rsidRPr="00570BC8" w:rsidRDefault="00CB2BCC" w:rsidP="00054551">
            <w:pPr>
              <w:rPr>
                <w:rFonts w:cs="Arial"/>
                <w:sz w:val="18"/>
              </w:rPr>
            </w:pPr>
            <w:r w:rsidRPr="00570BC8">
              <w:rPr>
                <w:rFonts w:cs="Arial"/>
                <w:sz w:val="18"/>
              </w:rPr>
              <w:t xml:space="preserve">Dureza Total     </w:t>
            </w:r>
            <w:proofErr w:type="gramStart"/>
            <w:r w:rsidRPr="00570BC8">
              <w:rPr>
                <w:rFonts w:cs="Arial"/>
                <w:sz w:val="18"/>
              </w:rPr>
              <w:t xml:space="preserve">   (</w:t>
            </w:r>
            <w:proofErr w:type="gramEnd"/>
            <w:r w:rsidRPr="00570BC8">
              <w:rPr>
                <w:rFonts w:cs="Arial"/>
                <w:sz w:val="18"/>
              </w:rPr>
              <w:t>ppm CaCO3)</w:t>
            </w:r>
          </w:p>
        </w:tc>
        <w:tc>
          <w:tcPr>
            <w:tcW w:w="1260" w:type="dxa"/>
          </w:tcPr>
          <w:p w14:paraId="1CC985FE" w14:textId="77777777" w:rsidR="00CB2BCC" w:rsidRPr="00570BC8" w:rsidRDefault="00CB2BCC" w:rsidP="00D4466A">
            <w:pPr>
              <w:jc w:val="center"/>
              <w:rPr>
                <w:rFonts w:cs="Arial"/>
                <w:sz w:val="18"/>
              </w:rPr>
            </w:pPr>
            <w:r w:rsidRPr="00570BC8">
              <w:rPr>
                <w:rFonts w:cs="Arial"/>
                <w:sz w:val="18"/>
              </w:rPr>
              <w:t>Máx. 400</w:t>
            </w:r>
          </w:p>
        </w:tc>
        <w:tc>
          <w:tcPr>
            <w:tcW w:w="5940" w:type="dxa"/>
          </w:tcPr>
          <w:p w14:paraId="1CC985FF" w14:textId="77777777" w:rsidR="00CB2BCC" w:rsidRPr="00570BC8" w:rsidRDefault="00CB2BCC" w:rsidP="00054551">
            <w:pPr>
              <w:rPr>
                <w:rFonts w:cs="Arial"/>
              </w:rPr>
            </w:pPr>
            <w:r w:rsidRPr="00570BC8">
              <w:rPr>
                <w:rFonts w:cs="Arial"/>
                <w:sz w:val="18"/>
              </w:rPr>
              <w:t xml:space="preserve">Visa controlar a concentração de sais de cálcio e magnésio, potenciais formadores de incrustações. </w:t>
            </w:r>
          </w:p>
        </w:tc>
      </w:tr>
      <w:tr w:rsidR="00CB2BCC" w:rsidRPr="00570BC8" w14:paraId="1CC98605" w14:textId="77777777" w:rsidTr="00A30445">
        <w:tc>
          <w:tcPr>
            <w:tcW w:w="1728" w:type="dxa"/>
          </w:tcPr>
          <w:p w14:paraId="1CC98601" w14:textId="77777777" w:rsidR="00CB2BCC" w:rsidRPr="00570BC8" w:rsidRDefault="00CB2BCC" w:rsidP="00054551">
            <w:pPr>
              <w:rPr>
                <w:rFonts w:cs="Arial"/>
                <w:sz w:val="18"/>
              </w:rPr>
            </w:pPr>
            <w:r w:rsidRPr="00570BC8">
              <w:rPr>
                <w:rFonts w:cs="Arial"/>
                <w:sz w:val="18"/>
              </w:rPr>
              <w:t xml:space="preserve">Cloretos </w:t>
            </w:r>
          </w:p>
          <w:p w14:paraId="1CC98602" w14:textId="77777777" w:rsidR="00CB2BCC" w:rsidRPr="00570BC8" w:rsidRDefault="00CB2BCC" w:rsidP="00054551">
            <w:pPr>
              <w:rPr>
                <w:rFonts w:cs="Arial"/>
                <w:sz w:val="18"/>
              </w:rPr>
            </w:pPr>
            <w:r w:rsidRPr="00570BC8">
              <w:rPr>
                <w:rFonts w:cs="Arial"/>
                <w:sz w:val="18"/>
              </w:rPr>
              <w:t>(ppm CaCO3)</w:t>
            </w:r>
          </w:p>
        </w:tc>
        <w:tc>
          <w:tcPr>
            <w:tcW w:w="1260" w:type="dxa"/>
          </w:tcPr>
          <w:p w14:paraId="1CC98603" w14:textId="77777777" w:rsidR="00CB2BCC" w:rsidRPr="00570BC8" w:rsidRDefault="00CB2BCC" w:rsidP="00D4466A">
            <w:pPr>
              <w:jc w:val="center"/>
              <w:rPr>
                <w:rFonts w:cs="Arial"/>
                <w:sz w:val="18"/>
              </w:rPr>
            </w:pPr>
            <w:r w:rsidRPr="00570BC8">
              <w:rPr>
                <w:rFonts w:cs="Arial"/>
                <w:sz w:val="18"/>
              </w:rPr>
              <w:t>Máx. 200</w:t>
            </w:r>
          </w:p>
        </w:tc>
        <w:tc>
          <w:tcPr>
            <w:tcW w:w="5940" w:type="dxa"/>
          </w:tcPr>
          <w:p w14:paraId="1CC98604" w14:textId="77777777" w:rsidR="00CB2BCC" w:rsidRPr="00570BC8" w:rsidRDefault="00CB2BCC" w:rsidP="00054551">
            <w:pPr>
              <w:rPr>
                <w:rFonts w:cs="Arial"/>
              </w:rPr>
            </w:pPr>
            <w:r w:rsidRPr="00570BC8">
              <w:rPr>
                <w:rFonts w:cs="Arial"/>
                <w:sz w:val="18"/>
              </w:rPr>
              <w:t xml:space="preserve">Indica o grau de concentração da água </w:t>
            </w:r>
            <w:proofErr w:type="gramStart"/>
            <w:r w:rsidRPr="00570BC8">
              <w:rPr>
                <w:rFonts w:cs="Arial"/>
                <w:sz w:val="18"/>
              </w:rPr>
              <w:t>e também</w:t>
            </w:r>
            <w:proofErr w:type="gramEnd"/>
            <w:r w:rsidRPr="00570BC8">
              <w:rPr>
                <w:rFonts w:cs="Arial"/>
                <w:sz w:val="18"/>
              </w:rPr>
              <w:t xml:space="preserve"> uma medida da característica corrosiva.</w:t>
            </w:r>
          </w:p>
        </w:tc>
      </w:tr>
      <w:tr w:rsidR="00CB2BCC" w:rsidRPr="00570BC8" w14:paraId="1CC9860A" w14:textId="77777777" w:rsidTr="00A30445">
        <w:tc>
          <w:tcPr>
            <w:tcW w:w="1728" w:type="dxa"/>
          </w:tcPr>
          <w:p w14:paraId="1CC98606" w14:textId="77777777" w:rsidR="00CB2BCC" w:rsidRPr="00570BC8" w:rsidRDefault="00CB2BCC" w:rsidP="00054551">
            <w:pPr>
              <w:rPr>
                <w:rFonts w:cs="Arial"/>
                <w:sz w:val="18"/>
              </w:rPr>
            </w:pPr>
            <w:r w:rsidRPr="00570BC8">
              <w:rPr>
                <w:rFonts w:cs="Arial"/>
                <w:sz w:val="18"/>
              </w:rPr>
              <w:t xml:space="preserve">Sílica </w:t>
            </w:r>
          </w:p>
          <w:p w14:paraId="1CC98607" w14:textId="77777777" w:rsidR="00CB2BCC" w:rsidRPr="00570BC8" w:rsidRDefault="00CB2BCC" w:rsidP="00C34194">
            <w:pPr>
              <w:rPr>
                <w:rFonts w:cs="Arial"/>
              </w:rPr>
            </w:pPr>
            <w:r w:rsidRPr="00570BC8">
              <w:rPr>
                <w:rFonts w:cs="Arial"/>
                <w:sz w:val="18"/>
              </w:rPr>
              <w:t>(ppm SiO3)</w:t>
            </w:r>
          </w:p>
        </w:tc>
        <w:tc>
          <w:tcPr>
            <w:tcW w:w="1260" w:type="dxa"/>
          </w:tcPr>
          <w:p w14:paraId="1CC98608" w14:textId="77777777" w:rsidR="00CB2BCC" w:rsidRPr="00570BC8" w:rsidRDefault="00CB2BCC" w:rsidP="00D4466A">
            <w:pPr>
              <w:jc w:val="center"/>
              <w:rPr>
                <w:rFonts w:cs="Arial"/>
                <w:sz w:val="18"/>
              </w:rPr>
            </w:pPr>
            <w:r w:rsidRPr="00570BC8">
              <w:rPr>
                <w:rFonts w:cs="Arial"/>
                <w:sz w:val="18"/>
              </w:rPr>
              <w:t>Máx. 150</w:t>
            </w:r>
          </w:p>
        </w:tc>
        <w:tc>
          <w:tcPr>
            <w:tcW w:w="5940" w:type="dxa"/>
          </w:tcPr>
          <w:p w14:paraId="1CC98609" w14:textId="77777777" w:rsidR="00CB2BCC" w:rsidRPr="00570BC8" w:rsidRDefault="00CB2BCC" w:rsidP="00054551">
            <w:pPr>
              <w:rPr>
                <w:rFonts w:cs="Arial"/>
              </w:rPr>
            </w:pPr>
            <w:r w:rsidRPr="00570BC8">
              <w:rPr>
                <w:rFonts w:cs="Arial"/>
                <w:sz w:val="18"/>
              </w:rPr>
              <w:t xml:space="preserve">O controle visa evitar incrustações de sílica e silicatos, muito duras e aderentes. </w:t>
            </w:r>
          </w:p>
        </w:tc>
      </w:tr>
      <w:tr w:rsidR="00CB2BCC" w:rsidRPr="00570BC8" w14:paraId="1CC9860F" w14:textId="77777777" w:rsidTr="00A30445">
        <w:tc>
          <w:tcPr>
            <w:tcW w:w="1728" w:type="dxa"/>
          </w:tcPr>
          <w:p w14:paraId="1CC9860B" w14:textId="77777777" w:rsidR="00CB2BCC" w:rsidRPr="00570BC8" w:rsidRDefault="00CB2BCC" w:rsidP="00054551">
            <w:pPr>
              <w:rPr>
                <w:rFonts w:cs="Arial"/>
                <w:sz w:val="18"/>
              </w:rPr>
            </w:pPr>
            <w:r w:rsidRPr="00570BC8">
              <w:rPr>
                <w:rFonts w:cs="Arial"/>
                <w:sz w:val="18"/>
              </w:rPr>
              <w:t>Ferro (ppm Fe)</w:t>
            </w:r>
          </w:p>
        </w:tc>
        <w:tc>
          <w:tcPr>
            <w:tcW w:w="1260" w:type="dxa"/>
          </w:tcPr>
          <w:p w14:paraId="1CC9860C" w14:textId="77777777" w:rsidR="00CB2BCC" w:rsidRPr="00570BC8" w:rsidRDefault="00CB2BCC" w:rsidP="00D4466A">
            <w:pPr>
              <w:jc w:val="center"/>
              <w:rPr>
                <w:rFonts w:cs="Arial"/>
                <w:sz w:val="18"/>
              </w:rPr>
            </w:pPr>
            <w:r w:rsidRPr="00570BC8">
              <w:rPr>
                <w:rFonts w:cs="Arial"/>
                <w:sz w:val="18"/>
              </w:rPr>
              <w:t>Máx. 5,0</w:t>
            </w:r>
          </w:p>
        </w:tc>
        <w:tc>
          <w:tcPr>
            <w:tcW w:w="5940" w:type="dxa"/>
          </w:tcPr>
          <w:p w14:paraId="1CC9860D" w14:textId="77777777" w:rsidR="00CB2BCC" w:rsidRPr="00570BC8" w:rsidRDefault="00CB2BCC" w:rsidP="00054551">
            <w:pPr>
              <w:pStyle w:val="Contedodatabela"/>
              <w:rPr>
                <w:rFonts w:ascii="Arial" w:hAnsi="Arial" w:cs="Arial"/>
                <w:sz w:val="18"/>
                <w:lang w:eastAsia="pt-BR" w:bidi="ar-SA"/>
              </w:rPr>
            </w:pPr>
            <w:r w:rsidRPr="00570BC8">
              <w:rPr>
                <w:rFonts w:ascii="Arial" w:hAnsi="Arial" w:cs="Arial"/>
                <w:sz w:val="18"/>
                <w:lang w:eastAsia="pt-BR" w:bidi="ar-SA"/>
              </w:rPr>
              <w:t xml:space="preserve">Estimativa da intensidade dos processos corrosivos. </w:t>
            </w:r>
          </w:p>
          <w:p w14:paraId="1CC9860E" w14:textId="77777777" w:rsidR="00CB2BCC" w:rsidRPr="00570BC8" w:rsidRDefault="00CB2BCC" w:rsidP="00054551">
            <w:pPr>
              <w:pStyle w:val="Contedodatabela"/>
              <w:rPr>
                <w:rFonts w:ascii="Arial" w:hAnsi="Arial" w:cs="Arial"/>
              </w:rPr>
            </w:pPr>
            <w:r w:rsidRPr="00570BC8">
              <w:rPr>
                <w:rFonts w:ascii="Arial" w:hAnsi="Arial" w:cs="Arial"/>
                <w:sz w:val="18"/>
                <w:lang w:eastAsia="pt-BR" w:bidi="ar-SA"/>
              </w:rPr>
              <w:t>Concentrações elevadas de ferro podem se incrustar</w:t>
            </w:r>
          </w:p>
        </w:tc>
      </w:tr>
      <w:tr w:rsidR="00CB2BCC" w:rsidRPr="00570BC8" w14:paraId="1CC98613" w14:textId="77777777" w:rsidTr="00A30445">
        <w:tc>
          <w:tcPr>
            <w:tcW w:w="1728" w:type="dxa"/>
          </w:tcPr>
          <w:p w14:paraId="1CC98610" w14:textId="77777777" w:rsidR="00CB2BCC" w:rsidRPr="00570BC8" w:rsidRDefault="00CB2BCC" w:rsidP="00054551">
            <w:pPr>
              <w:ind w:hanging="360"/>
              <w:rPr>
                <w:rFonts w:cs="Arial"/>
                <w:sz w:val="18"/>
              </w:rPr>
            </w:pPr>
            <w:r w:rsidRPr="00570BC8">
              <w:rPr>
                <w:rFonts w:cs="Arial"/>
                <w:sz w:val="18"/>
              </w:rPr>
              <w:t>Sólidos Suspensos (ppm SS)</w:t>
            </w:r>
          </w:p>
        </w:tc>
        <w:tc>
          <w:tcPr>
            <w:tcW w:w="1260" w:type="dxa"/>
          </w:tcPr>
          <w:p w14:paraId="1CC98611" w14:textId="77777777" w:rsidR="00CB2BCC" w:rsidRPr="00570BC8" w:rsidRDefault="00CB2BCC" w:rsidP="00D4466A">
            <w:pPr>
              <w:jc w:val="center"/>
              <w:rPr>
                <w:rFonts w:cs="Arial"/>
                <w:sz w:val="18"/>
              </w:rPr>
            </w:pPr>
            <w:r w:rsidRPr="00570BC8">
              <w:rPr>
                <w:rFonts w:cs="Arial"/>
                <w:sz w:val="18"/>
              </w:rPr>
              <w:t>Máx. 20</w:t>
            </w:r>
          </w:p>
        </w:tc>
        <w:tc>
          <w:tcPr>
            <w:tcW w:w="5940" w:type="dxa"/>
          </w:tcPr>
          <w:p w14:paraId="1CC98612" w14:textId="77777777" w:rsidR="00CB2BCC" w:rsidRPr="00570BC8" w:rsidRDefault="00CB2BCC" w:rsidP="00054551">
            <w:pPr>
              <w:rPr>
                <w:rFonts w:cs="Arial"/>
              </w:rPr>
            </w:pPr>
            <w:r w:rsidRPr="00570BC8">
              <w:rPr>
                <w:rFonts w:cs="Arial"/>
                <w:sz w:val="18"/>
              </w:rPr>
              <w:t xml:space="preserve">Indica material em suspensão. Concentrações altas indicam pré-tratamento deficiente ou excesso de material orgânico (microbiológico). </w:t>
            </w:r>
          </w:p>
        </w:tc>
      </w:tr>
      <w:tr w:rsidR="00CB2BCC" w:rsidRPr="00570BC8" w14:paraId="1CC98619" w14:textId="77777777" w:rsidTr="00A30445">
        <w:tc>
          <w:tcPr>
            <w:tcW w:w="1728" w:type="dxa"/>
          </w:tcPr>
          <w:p w14:paraId="1CC98614" w14:textId="77777777" w:rsidR="00CB2BCC" w:rsidRPr="00570BC8" w:rsidRDefault="00CB2BCC" w:rsidP="00054551">
            <w:pPr>
              <w:snapToGrid w:val="0"/>
              <w:rPr>
                <w:rFonts w:cs="Arial"/>
                <w:sz w:val="18"/>
              </w:rPr>
            </w:pPr>
          </w:p>
          <w:p w14:paraId="1CC98615" w14:textId="77777777" w:rsidR="00CB2BCC" w:rsidRPr="00570BC8" w:rsidRDefault="00CB2BCC" w:rsidP="00054551">
            <w:pPr>
              <w:rPr>
                <w:rFonts w:cs="Arial"/>
                <w:sz w:val="18"/>
              </w:rPr>
            </w:pPr>
            <w:r w:rsidRPr="00570BC8">
              <w:rPr>
                <w:rFonts w:cs="Arial"/>
                <w:sz w:val="18"/>
              </w:rPr>
              <w:t xml:space="preserve">Sulfatos </w:t>
            </w:r>
          </w:p>
          <w:p w14:paraId="1CC98616" w14:textId="77777777" w:rsidR="00CB2BCC" w:rsidRPr="00570BC8" w:rsidRDefault="00CB2BCC" w:rsidP="00054551">
            <w:pPr>
              <w:rPr>
                <w:rFonts w:cs="Arial"/>
                <w:sz w:val="18"/>
              </w:rPr>
            </w:pPr>
            <w:r w:rsidRPr="00570BC8">
              <w:rPr>
                <w:rFonts w:cs="Arial"/>
                <w:sz w:val="18"/>
              </w:rPr>
              <w:t>(ppm SO4 2-)</w:t>
            </w:r>
          </w:p>
        </w:tc>
        <w:tc>
          <w:tcPr>
            <w:tcW w:w="1260" w:type="dxa"/>
          </w:tcPr>
          <w:p w14:paraId="1CC98617" w14:textId="77777777" w:rsidR="00CB2BCC" w:rsidRPr="00570BC8" w:rsidRDefault="00CB2BCC" w:rsidP="00D4466A">
            <w:pPr>
              <w:jc w:val="center"/>
              <w:rPr>
                <w:rFonts w:cs="Arial"/>
                <w:sz w:val="18"/>
              </w:rPr>
            </w:pPr>
            <w:r w:rsidRPr="00570BC8">
              <w:rPr>
                <w:rFonts w:cs="Arial"/>
                <w:sz w:val="18"/>
              </w:rPr>
              <w:t>Máx. 300</w:t>
            </w:r>
          </w:p>
        </w:tc>
        <w:tc>
          <w:tcPr>
            <w:tcW w:w="5940" w:type="dxa"/>
          </w:tcPr>
          <w:p w14:paraId="1CC98618" w14:textId="77777777" w:rsidR="00CB2BCC" w:rsidRPr="00570BC8" w:rsidRDefault="00CB2BCC" w:rsidP="00054551">
            <w:pPr>
              <w:rPr>
                <w:rFonts w:cs="Arial"/>
              </w:rPr>
            </w:pPr>
            <w:r w:rsidRPr="00570BC8">
              <w:rPr>
                <w:rFonts w:cs="Arial"/>
                <w:sz w:val="18"/>
              </w:rPr>
              <w:t xml:space="preserve">Associado a características corrosivas da água. Baixas concentrações ajudam a combater as bactérias redutoras de sulfato. </w:t>
            </w:r>
          </w:p>
        </w:tc>
      </w:tr>
      <w:tr w:rsidR="00CB2BCC" w:rsidRPr="00570BC8" w14:paraId="1CC9861E" w14:textId="77777777" w:rsidTr="00A30445">
        <w:tc>
          <w:tcPr>
            <w:tcW w:w="1728" w:type="dxa"/>
          </w:tcPr>
          <w:p w14:paraId="1CC9861A" w14:textId="77777777" w:rsidR="00CB2BCC" w:rsidRPr="00570BC8" w:rsidRDefault="00CB2BCC" w:rsidP="00054551">
            <w:pPr>
              <w:rPr>
                <w:rFonts w:cs="Arial"/>
                <w:sz w:val="18"/>
              </w:rPr>
            </w:pPr>
            <w:r w:rsidRPr="00570BC8">
              <w:rPr>
                <w:rFonts w:cs="Arial"/>
                <w:sz w:val="18"/>
              </w:rPr>
              <w:t xml:space="preserve">Turbidez </w:t>
            </w:r>
          </w:p>
          <w:p w14:paraId="1CC9861B" w14:textId="77777777" w:rsidR="00CB2BCC" w:rsidRPr="00570BC8" w:rsidRDefault="00CB2BCC" w:rsidP="00054551">
            <w:pPr>
              <w:rPr>
                <w:rFonts w:cs="Arial"/>
                <w:sz w:val="18"/>
              </w:rPr>
            </w:pPr>
            <w:r w:rsidRPr="00570BC8">
              <w:rPr>
                <w:rFonts w:cs="Arial"/>
                <w:sz w:val="18"/>
              </w:rPr>
              <w:t xml:space="preserve">(NTU) </w:t>
            </w:r>
          </w:p>
        </w:tc>
        <w:tc>
          <w:tcPr>
            <w:tcW w:w="1260" w:type="dxa"/>
          </w:tcPr>
          <w:p w14:paraId="1CC9861C" w14:textId="77777777" w:rsidR="00CB2BCC" w:rsidRPr="00570BC8" w:rsidRDefault="00CB2BCC" w:rsidP="00D4466A">
            <w:pPr>
              <w:jc w:val="center"/>
              <w:rPr>
                <w:rFonts w:cs="Arial"/>
                <w:sz w:val="18"/>
              </w:rPr>
            </w:pPr>
            <w:r w:rsidRPr="00570BC8">
              <w:rPr>
                <w:rFonts w:cs="Arial"/>
                <w:sz w:val="18"/>
              </w:rPr>
              <w:t>Máx. 20</w:t>
            </w:r>
          </w:p>
        </w:tc>
        <w:tc>
          <w:tcPr>
            <w:tcW w:w="5940" w:type="dxa"/>
          </w:tcPr>
          <w:p w14:paraId="1CC9861D" w14:textId="77777777" w:rsidR="00CB2BCC" w:rsidRPr="00570BC8" w:rsidRDefault="00CB2BCC" w:rsidP="00054551">
            <w:pPr>
              <w:rPr>
                <w:rFonts w:cs="Arial"/>
              </w:rPr>
            </w:pPr>
            <w:r w:rsidRPr="00570BC8">
              <w:rPr>
                <w:rFonts w:cs="Arial"/>
                <w:sz w:val="18"/>
              </w:rPr>
              <w:t>Permite avaliar o crescimento microbiológico, detectar contaminações externas e concentrações excessivas de sais.</w:t>
            </w:r>
          </w:p>
        </w:tc>
      </w:tr>
      <w:tr w:rsidR="00CB2BCC" w:rsidRPr="00570BC8" w14:paraId="1CC98623" w14:textId="77777777" w:rsidTr="00A30445">
        <w:tc>
          <w:tcPr>
            <w:tcW w:w="1728" w:type="dxa"/>
          </w:tcPr>
          <w:p w14:paraId="1CC9861F" w14:textId="77777777" w:rsidR="00CB2BCC" w:rsidRPr="00570BC8" w:rsidRDefault="00CB2BCC" w:rsidP="00054551">
            <w:pPr>
              <w:rPr>
                <w:rFonts w:cs="Arial"/>
                <w:sz w:val="18"/>
              </w:rPr>
            </w:pPr>
            <w:r w:rsidRPr="00570BC8">
              <w:rPr>
                <w:rFonts w:cs="Arial"/>
                <w:sz w:val="18"/>
              </w:rPr>
              <w:t xml:space="preserve">Produtos para Tratamento </w:t>
            </w:r>
          </w:p>
          <w:p w14:paraId="1CC98620" w14:textId="77777777" w:rsidR="00CB2BCC" w:rsidRPr="00570BC8" w:rsidRDefault="00CB2BCC" w:rsidP="00054551">
            <w:pPr>
              <w:rPr>
                <w:rFonts w:cs="Arial"/>
                <w:sz w:val="18"/>
              </w:rPr>
            </w:pPr>
            <w:r w:rsidRPr="00570BC8">
              <w:rPr>
                <w:rFonts w:cs="Arial"/>
                <w:sz w:val="18"/>
              </w:rPr>
              <w:t xml:space="preserve">(Zinco, </w:t>
            </w:r>
            <w:proofErr w:type="gramStart"/>
            <w:r w:rsidRPr="00570BC8">
              <w:rPr>
                <w:rFonts w:cs="Arial"/>
                <w:sz w:val="18"/>
              </w:rPr>
              <w:t>Fosfato, etc.</w:t>
            </w:r>
            <w:proofErr w:type="gramEnd"/>
            <w:r w:rsidRPr="00570BC8">
              <w:rPr>
                <w:rFonts w:cs="Arial"/>
                <w:sz w:val="18"/>
              </w:rPr>
              <w:t>)</w:t>
            </w:r>
          </w:p>
        </w:tc>
        <w:tc>
          <w:tcPr>
            <w:tcW w:w="1260" w:type="dxa"/>
          </w:tcPr>
          <w:p w14:paraId="1CC98621" w14:textId="77777777" w:rsidR="00CB2BCC" w:rsidRPr="00570BC8" w:rsidRDefault="00CB2BCC" w:rsidP="00D4466A">
            <w:pPr>
              <w:snapToGrid w:val="0"/>
              <w:jc w:val="center"/>
              <w:rPr>
                <w:rFonts w:cs="Arial"/>
                <w:sz w:val="18"/>
              </w:rPr>
            </w:pPr>
          </w:p>
        </w:tc>
        <w:tc>
          <w:tcPr>
            <w:tcW w:w="5940" w:type="dxa"/>
          </w:tcPr>
          <w:p w14:paraId="1CC98622" w14:textId="77777777" w:rsidR="00CB2BCC" w:rsidRPr="00570BC8" w:rsidRDefault="00CB2BCC" w:rsidP="00054551">
            <w:pPr>
              <w:rPr>
                <w:rFonts w:cs="Arial"/>
              </w:rPr>
            </w:pPr>
            <w:r w:rsidRPr="00570BC8">
              <w:rPr>
                <w:rFonts w:cs="Arial"/>
                <w:sz w:val="18"/>
              </w:rPr>
              <w:t xml:space="preserve">São mantidas concentrações ideais, conforme recomendações específicas. </w:t>
            </w:r>
          </w:p>
        </w:tc>
      </w:tr>
    </w:tbl>
    <w:p w14:paraId="1CC98624" w14:textId="77777777" w:rsidR="00CB2BCC" w:rsidRPr="00570BC8" w:rsidRDefault="00CB2BCC" w:rsidP="00F016AA">
      <w:pPr>
        <w:ind w:hanging="360"/>
        <w:rPr>
          <w:rFonts w:cs="Arial"/>
          <w:sz w:val="18"/>
        </w:rPr>
      </w:pPr>
    </w:p>
    <w:p w14:paraId="1CC98625" w14:textId="77777777" w:rsidR="00CB2BCC" w:rsidRPr="00570BC8" w:rsidRDefault="00CB2BCC" w:rsidP="00F016AA">
      <w:pPr>
        <w:ind w:hanging="360"/>
        <w:rPr>
          <w:rFonts w:cs="Arial"/>
          <w:sz w:val="18"/>
        </w:rPr>
      </w:pPr>
    </w:p>
    <w:p w14:paraId="1CC98626" w14:textId="77777777" w:rsidR="00CB2BCC" w:rsidRPr="00F5457D" w:rsidRDefault="00CB2BCC" w:rsidP="00C34194">
      <w:pPr>
        <w:pStyle w:val="Ttulo2"/>
        <w:rPr>
          <w:rFonts w:cs="Arial"/>
          <w:sz w:val="22"/>
          <w:szCs w:val="22"/>
          <w:u w:val="single"/>
        </w:rPr>
      </w:pPr>
      <w:r w:rsidRPr="00F5457D">
        <w:rPr>
          <w:rFonts w:cs="Arial"/>
          <w:sz w:val="22"/>
          <w:szCs w:val="22"/>
          <w:u w:val="single"/>
        </w:rPr>
        <w:t>Procedimento – Contagem Microbiológica na Água (CMB)</w:t>
      </w:r>
    </w:p>
    <w:p w14:paraId="1CC98627" w14:textId="77777777" w:rsidR="00CB2BCC" w:rsidRPr="00F5457D" w:rsidRDefault="00CB2BCC" w:rsidP="00C34194">
      <w:pPr>
        <w:pStyle w:val="Ttulo3"/>
        <w:rPr>
          <w:rFonts w:cs="Arial"/>
          <w:sz w:val="22"/>
          <w:szCs w:val="22"/>
        </w:rPr>
      </w:pPr>
      <w:r w:rsidRPr="00F5457D">
        <w:rPr>
          <w:rFonts w:cs="Arial"/>
          <w:sz w:val="22"/>
          <w:szCs w:val="22"/>
        </w:rPr>
        <w:t>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Objetivo de:</w:t>
      </w:r>
    </w:p>
    <w:p w14:paraId="1CC9862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Qualificar e quantificar o ecossistema formado na água de condensação e água de arrefecimento, caracterizando a magnitude e complexidade da principal fonte poluente primária no sistema. </w:t>
      </w:r>
    </w:p>
    <w:p w14:paraId="1CC98629" w14:textId="77777777" w:rsidR="00CB2BCC" w:rsidRPr="00F5457D" w:rsidRDefault="00CB2BCC" w:rsidP="00C34194">
      <w:pPr>
        <w:pStyle w:val="Ttulo3"/>
        <w:rPr>
          <w:rFonts w:cs="Arial"/>
          <w:sz w:val="22"/>
          <w:szCs w:val="22"/>
        </w:rPr>
      </w:pPr>
      <w:r w:rsidRPr="00F5457D">
        <w:rPr>
          <w:rFonts w:cs="Arial"/>
          <w:sz w:val="22"/>
          <w:szCs w:val="22"/>
        </w:rPr>
        <w:t>Inclui:</w:t>
      </w:r>
    </w:p>
    <w:p w14:paraId="1CC9862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Contagem padrão em placa de bactérias heterotróficas; </w:t>
      </w:r>
    </w:p>
    <w:p w14:paraId="1CC9862B"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de microbiota fúngica (Contagem total diferencial e identificação);</w:t>
      </w:r>
    </w:p>
    <w:p w14:paraId="1CC9862C"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de algas;</w:t>
      </w:r>
    </w:p>
    <w:p w14:paraId="1CC9862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de amebídeos; pesquisa de Legionella sp, com indicação de espécie, sorogrupo e do grau de risco de exposição da população à legionelose.</w:t>
      </w:r>
    </w:p>
    <w:p w14:paraId="1CC9862E" w14:textId="77777777" w:rsidR="00CB2BCC" w:rsidRPr="00F5457D" w:rsidRDefault="00CB2BCC" w:rsidP="00C34194">
      <w:pPr>
        <w:rPr>
          <w:rFonts w:cs="Arial"/>
          <w:szCs w:val="22"/>
        </w:rPr>
      </w:pPr>
    </w:p>
    <w:p w14:paraId="1CC9862F" w14:textId="77777777" w:rsidR="00CB2BCC" w:rsidRPr="00F5457D" w:rsidRDefault="00CB2BCC" w:rsidP="00A30445">
      <w:pPr>
        <w:pStyle w:val="Estilonivel111ptNegritoesquerdaAntes6ptDepoisde"/>
      </w:pPr>
      <w:bookmarkStart w:id="11" w:name="_Toc424033881"/>
      <w:bookmarkStart w:id="12" w:name="_Toc476825329"/>
      <w:r w:rsidRPr="00F5457D">
        <w:t>ANÁLISE DOS NÍVEIS DE CONFORTO TÉRMICO AMBIENTAL (ACT)</w:t>
      </w:r>
      <w:bookmarkEnd w:id="11"/>
      <w:bookmarkEnd w:id="12"/>
    </w:p>
    <w:p w14:paraId="1CC98630" w14:textId="77777777" w:rsidR="00CB2BCC" w:rsidRPr="00F5457D" w:rsidRDefault="00CB2BCC" w:rsidP="00C34194">
      <w:pPr>
        <w:pStyle w:val="Ttulo2"/>
        <w:rPr>
          <w:rFonts w:cs="Arial"/>
          <w:sz w:val="22"/>
          <w:szCs w:val="22"/>
        </w:rPr>
      </w:pPr>
      <w:r w:rsidRPr="00F5457D">
        <w:rPr>
          <w:rFonts w:cs="Arial"/>
          <w:sz w:val="22"/>
          <w:szCs w:val="22"/>
        </w:rPr>
        <w:t>Essa análise visa avaliar o nível de conforto térmico nos ambientes climatizados e deve ser baseada no PMV (voto médio predito), calculando-se a escala de sensação de conforto segundo a análise estatística obtida pelos estudos de Fanger.</w:t>
      </w:r>
    </w:p>
    <w:p w14:paraId="1CC98631" w14:textId="77777777" w:rsidR="00CB2BCC" w:rsidRPr="00F5457D" w:rsidRDefault="00CB2BCC" w:rsidP="00C34194">
      <w:pPr>
        <w:pStyle w:val="Ttulo2"/>
        <w:rPr>
          <w:rFonts w:cs="Arial"/>
          <w:sz w:val="22"/>
          <w:szCs w:val="22"/>
        </w:rPr>
      </w:pPr>
      <w:r w:rsidRPr="00F5457D">
        <w:rPr>
          <w:rFonts w:cs="Arial"/>
          <w:sz w:val="22"/>
          <w:szCs w:val="22"/>
        </w:rPr>
        <w:t>Para valores de PMV acima de 0,5 deverão ser realizar diagnósticos para definição e localização do problema</w:t>
      </w:r>
    </w:p>
    <w:p w14:paraId="1CC98632" w14:textId="77777777" w:rsidR="00CB2BCC" w:rsidRPr="00F5457D" w:rsidRDefault="00CB2BCC" w:rsidP="00C34194">
      <w:pPr>
        <w:rPr>
          <w:rFonts w:cs="Arial"/>
          <w:szCs w:val="22"/>
        </w:rPr>
      </w:pPr>
    </w:p>
    <w:p w14:paraId="1CC98633" w14:textId="77777777" w:rsidR="00CB2BCC" w:rsidRPr="00F5457D" w:rsidRDefault="00CB2BCC" w:rsidP="00C34194">
      <w:pPr>
        <w:pStyle w:val="Ttulo2"/>
        <w:rPr>
          <w:rFonts w:cs="Arial"/>
          <w:sz w:val="22"/>
          <w:szCs w:val="22"/>
        </w:rPr>
      </w:pPr>
      <w:r w:rsidRPr="00F5457D">
        <w:rPr>
          <w:rFonts w:cs="Arial"/>
          <w:sz w:val="22"/>
          <w:szCs w:val="22"/>
        </w:rPr>
        <w:t>REFERÊNCIAS NORMATIVAS</w:t>
      </w:r>
    </w:p>
    <w:p w14:paraId="1CC98634" w14:textId="77777777" w:rsidR="00CB2BCC" w:rsidRPr="00F5457D" w:rsidRDefault="00CB2BCC" w:rsidP="00C34194">
      <w:pPr>
        <w:pStyle w:val="Ttulo3"/>
        <w:rPr>
          <w:rFonts w:cs="Arial"/>
          <w:sz w:val="22"/>
          <w:szCs w:val="22"/>
        </w:rPr>
      </w:pPr>
      <w:r w:rsidRPr="00F5457D">
        <w:rPr>
          <w:rFonts w:cs="Arial"/>
          <w:sz w:val="22"/>
          <w:szCs w:val="22"/>
        </w:rPr>
        <w:t>NORMA BRASILEIRA ABNT NBR 16401-2:2008. Esta parte 2 da ABNT NBR 16401. Especifica os parâmetros ambientais e humanos que influenciam o conforto térmico aos ocupantes de recintos providos de ar-condicionado. Estes parâmetros são:</w:t>
      </w:r>
    </w:p>
    <w:p w14:paraId="1CC9863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Temperatura Operativa;</w:t>
      </w:r>
    </w:p>
    <w:p w14:paraId="1CC9863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Umidade do ar; </w:t>
      </w:r>
    </w:p>
    <w:p w14:paraId="1CC9863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Velocidade do ar;</w:t>
      </w:r>
    </w:p>
    <w:p w14:paraId="1CC9863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Tipo de Roupa(clo);</w:t>
      </w:r>
    </w:p>
    <w:p w14:paraId="1CC9863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Atividade física(met);</w:t>
      </w:r>
    </w:p>
    <w:p w14:paraId="1CC9863A" w14:textId="77777777" w:rsidR="00CB2BCC" w:rsidRPr="00F5457D" w:rsidRDefault="00CB2BCC" w:rsidP="00C34194">
      <w:pPr>
        <w:pStyle w:val="Ttulo3"/>
        <w:rPr>
          <w:rFonts w:cs="Arial"/>
          <w:sz w:val="22"/>
          <w:szCs w:val="22"/>
        </w:rPr>
      </w:pPr>
      <w:r w:rsidRPr="00F5457D">
        <w:rPr>
          <w:rFonts w:cs="Arial"/>
          <w:sz w:val="22"/>
          <w:szCs w:val="22"/>
        </w:rPr>
        <w:t>ANSI/ASHRAE Standard 55-2004: Especifica os parâmetros do ambiente interno que proporcionem conforto térmico aos ocupantes de recintos providos de ar-condicionado</w:t>
      </w:r>
    </w:p>
    <w:p w14:paraId="1CC9863B" w14:textId="77777777" w:rsidR="00CB2BCC" w:rsidRPr="00F5457D" w:rsidRDefault="00CB2BCC" w:rsidP="00AD6878">
      <w:pPr>
        <w:pStyle w:val="nivel2"/>
        <w:numPr>
          <w:ilvl w:val="0"/>
          <w:numId w:val="0"/>
        </w:numPr>
        <w:ind w:left="1134"/>
        <w:rPr>
          <w:rFonts w:cs="Arial"/>
          <w:b/>
          <w:sz w:val="22"/>
          <w:szCs w:val="22"/>
        </w:rPr>
      </w:pPr>
    </w:p>
    <w:p w14:paraId="1CC9863C" w14:textId="77777777" w:rsidR="00CB2BCC" w:rsidRPr="00F5457D" w:rsidRDefault="00CB2BCC" w:rsidP="00C34194">
      <w:pPr>
        <w:pStyle w:val="Ttulo2"/>
        <w:rPr>
          <w:rFonts w:cs="Arial"/>
          <w:b/>
          <w:sz w:val="22"/>
          <w:szCs w:val="22"/>
        </w:rPr>
      </w:pPr>
      <w:r w:rsidRPr="00F5457D">
        <w:rPr>
          <w:rFonts w:cs="Arial"/>
          <w:sz w:val="22"/>
          <w:szCs w:val="22"/>
        </w:rPr>
        <w:t>PROCEDIMENTOS GERAIS</w:t>
      </w:r>
    </w:p>
    <w:p w14:paraId="1CC9863D" w14:textId="77777777" w:rsidR="00CB2BCC" w:rsidRPr="00F5457D" w:rsidRDefault="00CB2BCC" w:rsidP="00C34194">
      <w:pPr>
        <w:pStyle w:val="Ttulo3"/>
        <w:rPr>
          <w:rFonts w:cs="Arial"/>
          <w:sz w:val="22"/>
          <w:szCs w:val="22"/>
        </w:rPr>
      </w:pPr>
      <w:r w:rsidRPr="00F5457D">
        <w:rPr>
          <w:rFonts w:cs="Arial"/>
          <w:sz w:val="22"/>
          <w:szCs w:val="22"/>
        </w:rPr>
        <w:t>Todos os procedimentos devem estar de acordo com as normas vigentes</w:t>
      </w:r>
    </w:p>
    <w:p w14:paraId="1CC9863E" w14:textId="77777777" w:rsidR="00CB2BCC" w:rsidRPr="00F5457D" w:rsidRDefault="00CB2BCC" w:rsidP="00C34194">
      <w:pPr>
        <w:pStyle w:val="Ttulo3"/>
        <w:rPr>
          <w:rFonts w:cs="Arial"/>
          <w:sz w:val="22"/>
          <w:szCs w:val="22"/>
        </w:rPr>
      </w:pPr>
      <w:r w:rsidRPr="00F5457D">
        <w:rPr>
          <w:rFonts w:cs="Arial"/>
          <w:sz w:val="22"/>
          <w:szCs w:val="22"/>
        </w:rPr>
        <w:t xml:space="preserve">Posicionamento dos Instrumentos em Relação ao Solo: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CC9863F" w14:textId="77777777" w:rsidR="00CB2BCC" w:rsidRPr="00F5457D" w:rsidRDefault="00CB2BCC" w:rsidP="00C34194">
      <w:pPr>
        <w:pStyle w:val="Ttulo3"/>
        <w:rPr>
          <w:rFonts w:cs="Arial"/>
          <w:sz w:val="22"/>
          <w:szCs w:val="22"/>
        </w:rPr>
      </w:pPr>
      <w:r w:rsidRPr="00F5457D">
        <w:rPr>
          <w:rFonts w:cs="Arial"/>
          <w:sz w:val="22"/>
          <w:szCs w:val="22"/>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Fanger sugere a divisão imaginária da área a ser avaliada em múltiplos quadrados iguais; por exemplo, pode se sugerir quadrados de 2 a 4 m de lado e a realização das medições no centro desses quadrados. </w:t>
      </w:r>
    </w:p>
    <w:p w14:paraId="1CC98640" w14:textId="77777777" w:rsidR="00CB2BCC" w:rsidRPr="00F5457D" w:rsidRDefault="00CB2BCC" w:rsidP="00C34194">
      <w:pPr>
        <w:pStyle w:val="Ttulo3"/>
        <w:rPr>
          <w:rFonts w:cs="Arial"/>
          <w:sz w:val="22"/>
          <w:szCs w:val="22"/>
        </w:rPr>
      </w:pPr>
      <w:r w:rsidRPr="00F5457D">
        <w:rPr>
          <w:rFonts w:cs="Arial"/>
          <w:sz w:val="22"/>
          <w:szCs w:val="22"/>
        </w:rPr>
        <w:t>Todos os resultados devem ser registrados, garantindo a veracidade dos dados coletados e serão mostrados na emissão do relatório final.</w:t>
      </w:r>
    </w:p>
    <w:p w14:paraId="1CC98641" w14:textId="77777777" w:rsidR="00CB2BCC" w:rsidRPr="00F5457D" w:rsidRDefault="00CB2BCC" w:rsidP="00C34194">
      <w:pPr>
        <w:pStyle w:val="Ttulo3"/>
        <w:rPr>
          <w:rFonts w:cs="Arial"/>
          <w:sz w:val="22"/>
          <w:szCs w:val="22"/>
        </w:rPr>
      </w:pPr>
      <w:r w:rsidRPr="00F5457D">
        <w:rPr>
          <w:rFonts w:cs="Arial"/>
          <w:sz w:val="22"/>
          <w:szCs w:val="22"/>
        </w:rPr>
        <w:t>Para medição dos parâmetros necessários deverão ser utilizados os equipamentos descritos abaixo e para o cálculo do PMV poderão ser utilizados softwares auxiliares como o:</w:t>
      </w:r>
    </w:p>
    <w:p w14:paraId="1CC98642" w14:textId="77777777" w:rsidR="00CB2BCC" w:rsidRPr="00F5457D" w:rsidRDefault="00E679BE" w:rsidP="00122D60">
      <w:pPr>
        <w:pStyle w:val="Ttulo4"/>
        <w:numPr>
          <w:ilvl w:val="0"/>
          <w:numId w:val="6"/>
        </w:numPr>
        <w:rPr>
          <w:rFonts w:cs="Arial"/>
          <w:sz w:val="22"/>
          <w:szCs w:val="22"/>
        </w:rPr>
      </w:pPr>
      <w:hyperlink r:id="rId7" w:history="1">
        <w:r w:rsidR="00CB2BCC" w:rsidRPr="00F5457D">
          <w:rPr>
            <w:rFonts w:cs="Arial"/>
            <w:sz w:val="22"/>
            <w:szCs w:val="22"/>
          </w:rPr>
          <w:t>LADEsys</w:t>
        </w:r>
      </w:hyperlink>
      <w:r w:rsidR="00CB2BCC" w:rsidRPr="00F5457D">
        <w:rPr>
          <w:rFonts w:cs="Arial"/>
          <w:sz w:val="22"/>
          <w:szCs w:val="22"/>
        </w:rPr>
        <w:t xml:space="preserve"> – UFMS;</w:t>
      </w:r>
    </w:p>
    <w:p w14:paraId="1CC9864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Analysis CST – UFSC;</w:t>
      </w:r>
    </w:p>
    <w:p w14:paraId="1CC98644" w14:textId="77777777" w:rsidR="00CB2BCC" w:rsidRPr="00F5457D" w:rsidRDefault="00CB2BCC" w:rsidP="00C34194">
      <w:pPr>
        <w:rPr>
          <w:rFonts w:cs="Arial"/>
          <w:szCs w:val="22"/>
        </w:rPr>
      </w:pPr>
    </w:p>
    <w:p w14:paraId="1CC98645" w14:textId="77777777" w:rsidR="00CB2BCC" w:rsidRPr="00F5457D" w:rsidRDefault="00CB2BCC" w:rsidP="00C34194">
      <w:pPr>
        <w:pStyle w:val="Ttulo3"/>
        <w:rPr>
          <w:rFonts w:cs="Arial"/>
          <w:sz w:val="22"/>
          <w:szCs w:val="22"/>
        </w:rPr>
      </w:pPr>
      <w:r w:rsidRPr="00F5457D">
        <w:rPr>
          <w:rFonts w:cs="Arial"/>
          <w:sz w:val="22"/>
          <w:szCs w:val="22"/>
        </w:rPr>
        <w:t>EQUIPAMENTOS DE MEDIÇÃO</w:t>
      </w:r>
      <w:r w:rsidRPr="00F5457D" w:rsidDel="006E3BF2">
        <w:rPr>
          <w:rFonts w:cs="Arial"/>
          <w:sz w:val="22"/>
          <w:szCs w:val="22"/>
        </w:rPr>
        <w:t xml:space="preserve"> </w:t>
      </w:r>
    </w:p>
    <w:p w14:paraId="1CC9864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Termômetro;</w:t>
      </w:r>
    </w:p>
    <w:p w14:paraId="1CC9864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Termoanemômetro;</w:t>
      </w:r>
    </w:p>
    <w:p w14:paraId="1CC9864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Termômetro de globo;</w:t>
      </w:r>
    </w:p>
    <w:p w14:paraId="1CC9864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Psicrômetro;</w:t>
      </w:r>
    </w:p>
    <w:p w14:paraId="1CC9864A" w14:textId="77777777" w:rsidR="00CB2BCC" w:rsidRPr="00F5457D" w:rsidRDefault="00CB2BCC" w:rsidP="00C34194">
      <w:pPr>
        <w:rPr>
          <w:rFonts w:cs="Arial"/>
          <w:szCs w:val="22"/>
        </w:rPr>
      </w:pPr>
    </w:p>
    <w:p w14:paraId="1CC9864B" w14:textId="77777777" w:rsidR="00CB2BCC" w:rsidRPr="00F5457D" w:rsidRDefault="00CB2BCC" w:rsidP="00C34194">
      <w:pPr>
        <w:pStyle w:val="Ttulo3"/>
        <w:rPr>
          <w:rFonts w:cs="Arial"/>
          <w:sz w:val="22"/>
          <w:szCs w:val="22"/>
        </w:rPr>
      </w:pPr>
      <w:r w:rsidRPr="00F5457D">
        <w:rPr>
          <w:rFonts w:cs="Arial"/>
          <w:sz w:val="22"/>
          <w:szCs w:val="22"/>
        </w:rPr>
        <w:t xml:space="preserve">CONSIDERAÇÕES. </w:t>
      </w:r>
    </w:p>
    <w:p w14:paraId="1CC9864C"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Tipo de Roupa(clo): Considerar 1,0clo para fins de cálculo do PMV, quando não for possível avaliar o valor a ser considerado.</w:t>
      </w:r>
    </w:p>
    <w:p w14:paraId="1CC9864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Atividade física (met): Considerar 1,2met ou 93W/m² para fins de cálculo do PMV, quando não for possível avaliar o valor a ser considerado.</w:t>
      </w:r>
    </w:p>
    <w:p w14:paraId="1CC9864E" w14:textId="77777777" w:rsidR="00CB2BCC" w:rsidRPr="00F5457D" w:rsidRDefault="00CB2BCC" w:rsidP="00C34194">
      <w:pPr>
        <w:rPr>
          <w:rFonts w:cs="Arial"/>
          <w:szCs w:val="22"/>
        </w:rPr>
      </w:pPr>
    </w:p>
    <w:p w14:paraId="1CC9864F" w14:textId="77777777" w:rsidR="00CB2BCC" w:rsidRPr="00F5457D" w:rsidRDefault="00CB2BCC" w:rsidP="00C34194">
      <w:pPr>
        <w:pStyle w:val="Ttulo2"/>
        <w:rPr>
          <w:rFonts w:cs="Arial"/>
          <w:sz w:val="22"/>
          <w:szCs w:val="22"/>
          <w:u w:val="single"/>
        </w:rPr>
      </w:pPr>
      <w:r w:rsidRPr="00F5457D">
        <w:rPr>
          <w:rFonts w:cs="Arial"/>
          <w:sz w:val="22"/>
          <w:szCs w:val="22"/>
          <w:u w:val="single"/>
        </w:rPr>
        <w:t>Procedimentos – Determinação da do Voto Médio Predito - PMV</w:t>
      </w:r>
    </w:p>
    <w:p w14:paraId="1CC98650" w14:textId="77777777" w:rsidR="00CB2BCC" w:rsidRPr="00F5457D" w:rsidRDefault="00CB2BCC" w:rsidP="00C34194">
      <w:pPr>
        <w:pStyle w:val="Ttulo3"/>
        <w:rPr>
          <w:rFonts w:cs="Arial"/>
          <w:sz w:val="22"/>
          <w:szCs w:val="22"/>
        </w:rPr>
      </w:pPr>
      <w:r w:rsidRPr="00F5457D">
        <w:rPr>
          <w:rFonts w:cs="Arial"/>
          <w:sz w:val="22"/>
          <w:szCs w:val="22"/>
        </w:rPr>
        <w:t>Este procedimento será realizado para determinar a temperatura, umidade, velocidade do ar no ambiente climatizado e Temperatura Radiante média com Objetivo de:</w:t>
      </w:r>
    </w:p>
    <w:p w14:paraId="1CC9865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Pesquisa, monitoramento e controle do processo de climatização de ar em ambientes climatizados;</w:t>
      </w:r>
    </w:p>
    <w:p w14:paraId="1CC98652"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Avaliação dos parâmetros de conforto térmico do ambiente por meio da determinação do PMV</w:t>
      </w:r>
    </w:p>
    <w:p w14:paraId="1CC98653" w14:textId="77777777" w:rsidR="00CB2BCC" w:rsidRPr="00F5457D" w:rsidRDefault="00CB2BCC" w:rsidP="00C34194">
      <w:pPr>
        <w:pStyle w:val="Ttulo3"/>
        <w:rPr>
          <w:rFonts w:cs="Arial"/>
          <w:sz w:val="22"/>
          <w:szCs w:val="22"/>
        </w:rPr>
      </w:pPr>
      <w:r w:rsidRPr="00F5457D">
        <w:rPr>
          <w:rFonts w:cs="Arial"/>
          <w:sz w:val="22"/>
          <w:szCs w:val="22"/>
        </w:rPr>
        <w:t>Inclui:</w:t>
      </w:r>
    </w:p>
    <w:p w14:paraId="1CC98654"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Medição da Temperatura do Ar: A temperatura do ar poderá ser medida por termômetros de resistência ou termopares. </w:t>
      </w:r>
      <w:proofErr w:type="gramStart"/>
      <w:r w:rsidRPr="00F5457D">
        <w:rPr>
          <w:rFonts w:cs="Arial"/>
          <w:sz w:val="22"/>
          <w:szCs w:val="22"/>
        </w:rPr>
        <w:t>Os equipamento</w:t>
      </w:r>
      <w:proofErr w:type="gramEnd"/>
      <w:r w:rsidRPr="00F5457D">
        <w:rPr>
          <w:rFonts w:cs="Arial"/>
          <w:sz w:val="22"/>
          <w:szCs w:val="22"/>
        </w:rPr>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CC9865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Medição da Velocidade do Ar: A velocidade do ar deverá ser obtida com um termoanemômetro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CC9865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Medição da Umidade Relativa do Ar: Deverá ser utilizado psicrômetro para obtenção da Umidade Relativa.</w:t>
      </w:r>
    </w:p>
    <w:p w14:paraId="1CC9865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Temperatura Radiante Média: A temperatura radiante média (trm) de um ambiente em relação a uma pessoa é determinada valendo-se dos valores da temperatura de globo (tg), da velocidade do ar na altura do globo (v) e da temperatura do ar (t.a). A tg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trm.</w:t>
      </w:r>
    </w:p>
    <w:p w14:paraId="1CC9865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Determinação do PMV, para cada ponto em que os parâmetros acima foram medidos.</w:t>
      </w:r>
    </w:p>
    <w:p w14:paraId="1CC98659" w14:textId="77777777" w:rsidR="00CB2BCC" w:rsidRPr="00F5457D" w:rsidRDefault="00CB2BCC" w:rsidP="00C34194">
      <w:pPr>
        <w:rPr>
          <w:rFonts w:cs="Arial"/>
          <w:szCs w:val="22"/>
        </w:rPr>
      </w:pPr>
    </w:p>
    <w:p w14:paraId="1CC9865A" w14:textId="77777777" w:rsidR="00CB2BCC" w:rsidRPr="00F5457D" w:rsidRDefault="00CB2BCC" w:rsidP="00A30445">
      <w:pPr>
        <w:pStyle w:val="Estilonivel111ptNegritoesquerdaAntes6ptDepoisde"/>
      </w:pPr>
      <w:bookmarkStart w:id="13" w:name="_Toc424033882"/>
      <w:bookmarkStart w:id="14" w:name="_Toc476825330"/>
      <w:r w:rsidRPr="00F5457D">
        <w:t>ANÁLISE DOS NÍVEIS DE RUÍDO (ANR)</w:t>
      </w:r>
      <w:bookmarkEnd w:id="13"/>
      <w:bookmarkEnd w:id="14"/>
    </w:p>
    <w:p w14:paraId="1CC9865B" w14:textId="77777777" w:rsidR="00CB2BCC" w:rsidRPr="00F5457D" w:rsidRDefault="00CB2BCC" w:rsidP="00C34194">
      <w:pPr>
        <w:pStyle w:val="Ttulo2"/>
        <w:rPr>
          <w:rFonts w:cs="Arial"/>
          <w:sz w:val="22"/>
          <w:szCs w:val="22"/>
        </w:rPr>
      </w:pPr>
      <w:r w:rsidRPr="00F5457D">
        <w:rPr>
          <w:rFonts w:cs="Arial"/>
          <w:sz w:val="22"/>
          <w:szCs w:val="22"/>
        </w:rPr>
        <w:t xml:space="preserve">Essa análise visa garantir o conforto acústico no interior das unidades da Caixa e na Vizinhança, e deve ser baseada no disposto nas normas indicadas vigentes, relativa a Conforto Acústico, além dos demais procedimentos técnicos complementares adotados pela CAIXA e constantes deste documento. </w:t>
      </w:r>
    </w:p>
    <w:p w14:paraId="1CC9865C" w14:textId="77777777" w:rsidR="00CB2BCC" w:rsidRPr="00F5457D" w:rsidRDefault="00CB2BCC" w:rsidP="00C34194">
      <w:pPr>
        <w:pStyle w:val="Ttulo2"/>
        <w:rPr>
          <w:rFonts w:cs="Arial"/>
          <w:sz w:val="22"/>
          <w:szCs w:val="22"/>
        </w:rPr>
      </w:pPr>
      <w:r w:rsidRPr="00F5457D">
        <w:rPr>
          <w:rFonts w:cs="Arial"/>
          <w:sz w:val="22"/>
          <w:szCs w:val="22"/>
        </w:rPr>
        <w:t>Caso as medições dos Níveis de Ruído (dB) no interior ou exterior das unidades encontrasse fora dos parâmetros normais aceitáveis nas normas, a CONTRATADA deverá realizar diagnósticos para definição e localização da fonte de contaminação de ruído</w:t>
      </w:r>
    </w:p>
    <w:p w14:paraId="1CC9865D" w14:textId="77777777" w:rsidR="00CB2BCC" w:rsidRPr="00F5457D" w:rsidRDefault="00CB2BCC" w:rsidP="00C34194">
      <w:pPr>
        <w:pStyle w:val="nivel1"/>
        <w:numPr>
          <w:ilvl w:val="0"/>
          <w:numId w:val="0"/>
        </w:numPr>
        <w:ind w:left="1134"/>
        <w:rPr>
          <w:rFonts w:cs="Arial"/>
          <w:sz w:val="22"/>
          <w:szCs w:val="22"/>
        </w:rPr>
      </w:pPr>
    </w:p>
    <w:p w14:paraId="1CC9865E" w14:textId="77777777" w:rsidR="00CB2BCC" w:rsidRPr="00F5457D" w:rsidRDefault="00CB2BCC" w:rsidP="00C34194">
      <w:pPr>
        <w:pStyle w:val="Ttulo2"/>
        <w:rPr>
          <w:rFonts w:cs="Arial"/>
          <w:sz w:val="22"/>
          <w:szCs w:val="22"/>
        </w:rPr>
      </w:pPr>
      <w:r w:rsidRPr="00F5457D">
        <w:rPr>
          <w:rFonts w:cs="Arial"/>
          <w:sz w:val="22"/>
          <w:szCs w:val="22"/>
        </w:rPr>
        <w:t>REFERÊNCIAS NORMATIVAS</w:t>
      </w:r>
    </w:p>
    <w:p w14:paraId="1CC9865F" w14:textId="77777777" w:rsidR="00CB2BCC" w:rsidRPr="00F5457D" w:rsidRDefault="00CB2BCC" w:rsidP="00C34194">
      <w:pPr>
        <w:pStyle w:val="Ttulo3"/>
        <w:rPr>
          <w:rFonts w:cs="Arial"/>
          <w:sz w:val="22"/>
          <w:szCs w:val="22"/>
        </w:rPr>
      </w:pPr>
      <w:r w:rsidRPr="00F5457D">
        <w:rPr>
          <w:rFonts w:cs="Arial"/>
          <w:sz w:val="22"/>
          <w:szCs w:val="22"/>
        </w:rPr>
        <w:t xml:space="preserve">NORMA BRASILEIRA ABNT NBR 16401-1:2008. Esta parte 1 da ABNT NBR 16401. Estabelece que os ruídos decorrentes da operação do sistema de ar-condicionado devem ser considerados sob os seguintes aspectos: </w:t>
      </w:r>
    </w:p>
    <w:p w14:paraId="1CC98660"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Ruído nos ambientes internos às edificações; </w:t>
      </w:r>
    </w:p>
    <w:p w14:paraId="1CC9866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Ruído transmitido a vizinhança; </w:t>
      </w:r>
    </w:p>
    <w:p w14:paraId="1CC98662" w14:textId="77777777" w:rsidR="00CB2BCC" w:rsidRPr="00F5457D" w:rsidRDefault="00CB2BCC" w:rsidP="00C34194">
      <w:pPr>
        <w:pStyle w:val="Ttulo3"/>
        <w:rPr>
          <w:rFonts w:cs="Arial"/>
          <w:sz w:val="22"/>
          <w:szCs w:val="22"/>
        </w:rPr>
      </w:pPr>
      <w:r w:rsidRPr="00F5457D">
        <w:rPr>
          <w:rFonts w:cs="Arial"/>
          <w:sz w:val="22"/>
          <w:szCs w:val="22"/>
        </w:rPr>
        <w:t>NORMA BRASILEIRA ABNT NBR 10152:DEZ/1987 (Níveis de ruído para conforto acústico). Esta Norma fixa os níveis de ruído compatíveis com o conforto acústico em ambientes internos diversos.</w:t>
      </w:r>
    </w:p>
    <w:p w14:paraId="1CC98663" w14:textId="77777777" w:rsidR="00CB2BCC" w:rsidRPr="00F5457D" w:rsidRDefault="00CB2BCC" w:rsidP="00C34194">
      <w:pPr>
        <w:pStyle w:val="Ttulo3"/>
        <w:rPr>
          <w:rFonts w:cs="Arial"/>
          <w:sz w:val="22"/>
          <w:szCs w:val="22"/>
        </w:rPr>
      </w:pPr>
      <w:r w:rsidRPr="00F5457D">
        <w:rPr>
          <w:rFonts w:cs="Arial"/>
          <w:sz w:val="22"/>
          <w:szCs w:val="22"/>
        </w:rPr>
        <w:t>NORMA BRASILEIRA ABNT NBR 10151:DEZ/1987 (Níveis de ruído para conforto acústico). Esta Norma fixa as condições exigíveis para avaliação da aceitabilidade do ruído em comunidades, independentemente da existência de reclamações.</w:t>
      </w:r>
    </w:p>
    <w:p w14:paraId="1CC98664" w14:textId="77777777" w:rsidR="00CB2BCC" w:rsidRPr="00F5457D" w:rsidRDefault="00CB2BCC" w:rsidP="00C34194">
      <w:pPr>
        <w:rPr>
          <w:rFonts w:cs="Arial"/>
          <w:szCs w:val="22"/>
        </w:rPr>
      </w:pPr>
    </w:p>
    <w:p w14:paraId="1CC98665" w14:textId="77777777" w:rsidR="00CB2BCC" w:rsidRPr="00F5457D" w:rsidRDefault="00CB2BCC" w:rsidP="00C34194">
      <w:pPr>
        <w:pStyle w:val="Ttulo2"/>
        <w:rPr>
          <w:rFonts w:cs="Arial"/>
          <w:b/>
          <w:sz w:val="22"/>
          <w:szCs w:val="22"/>
        </w:rPr>
      </w:pPr>
      <w:r w:rsidRPr="00F5457D">
        <w:rPr>
          <w:rFonts w:cs="Arial"/>
          <w:sz w:val="22"/>
          <w:szCs w:val="22"/>
        </w:rPr>
        <w:t>PROCEDIMENTOS GERAIS</w:t>
      </w:r>
    </w:p>
    <w:p w14:paraId="1CC98666" w14:textId="77777777" w:rsidR="00CB2BCC" w:rsidRPr="00F5457D" w:rsidRDefault="00CB2BCC" w:rsidP="00C34194">
      <w:pPr>
        <w:pStyle w:val="Ttulo3"/>
        <w:rPr>
          <w:rFonts w:cs="Arial"/>
          <w:sz w:val="22"/>
          <w:szCs w:val="22"/>
        </w:rPr>
      </w:pPr>
      <w:r w:rsidRPr="00F5457D">
        <w:rPr>
          <w:rFonts w:cs="Arial"/>
          <w:sz w:val="22"/>
          <w:szCs w:val="22"/>
        </w:rPr>
        <w:t>Todos os procedimentos devem estar de acordo com as normas vigentes</w:t>
      </w:r>
    </w:p>
    <w:p w14:paraId="1CC98667" w14:textId="77777777" w:rsidR="00CB2BCC" w:rsidRPr="00F5457D" w:rsidRDefault="00CB2BCC" w:rsidP="00C34194">
      <w:pPr>
        <w:pStyle w:val="Ttulo3"/>
        <w:rPr>
          <w:rFonts w:cs="Arial"/>
          <w:sz w:val="22"/>
          <w:szCs w:val="22"/>
        </w:rPr>
      </w:pPr>
      <w:r w:rsidRPr="00F5457D">
        <w:rPr>
          <w:rFonts w:cs="Arial"/>
          <w:sz w:val="22"/>
          <w:szCs w:val="22"/>
        </w:rPr>
        <w:t>Todos os resultados devem ser registrados e fotografados, garantindo a veracidade dos dados coletados e serão mostrados na emissão do relatório final.</w:t>
      </w:r>
    </w:p>
    <w:p w14:paraId="1CC98668" w14:textId="77777777" w:rsidR="00CB2BCC" w:rsidRPr="00F5457D" w:rsidRDefault="00CB2BCC" w:rsidP="00C34194">
      <w:pPr>
        <w:pStyle w:val="Ttulo3"/>
        <w:rPr>
          <w:rFonts w:cs="Arial"/>
          <w:sz w:val="22"/>
          <w:szCs w:val="22"/>
        </w:rPr>
      </w:pPr>
      <w:r w:rsidRPr="00F5457D">
        <w:rPr>
          <w:rFonts w:cs="Arial"/>
          <w:sz w:val="22"/>
          <w:szCs w:val="22"/>
        </w:rPr>
        <w:t>O relatório deve conter as seguintes informações:</w:t>
      </w:r>
    </w:p>
    <w:p w14:paraId="1CC9866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Desenho esquemático e/ou descrição detalhada dos pontos da medição;</w:t>
      </w:r>
    </w:p>
    <w:p w14:paraId="1CC9866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Horário e duração das medições do ruído;</w:t>
      </w:r>
    </w:p>
    <w:p w14:paraId="1CC9866B"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Nível de pressão sonora corrigido LC, indicando as correções aplicadas;</w:t>
      </w:r>
    </w:p>
    <w:p w14:paraId="1CC9866C"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Nível de ruído ambiente;</w:t>
      </w:r>
    </w:p>
    <w:p w14:paraId="1CC9866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Valor do nível de critério de avaliação (NCA) aplicado para a área e o horário da medição;</w:t>
      </w:r>
    </w:p>
    <w:p w14:paraId="1CC9866E" w14:textId="77777777" w:rsidR="00CB2BCC" w:rsidRPr="00F5457D" w:rsidRDefault="00CB2BCC" w:rsidP="00C34194">
      <w:pPr>
        <w:rPr>
          <w:rFonts w:cs="Arial"/>
          <w:szCs w:val="22"/>
          <w:highlight w:val="yellow"/>
        </w:rPr>
      </w:pPr>
    </w:p>
    <w:p w14:paraId="1CC9866F" w14:textId="77777777" w:rsidR="00CB2BCC" w:rsidRPr="00F5457D" w:rsidRDefault="00CB2BCC" w:rsidP="00C34194">
      <w:pPr>
        <w:pStyle w:val="Ttulo2"/>
        <w:rPr>
          <w:rFonts w:cs="Arial"/>
          <w:sz w:val="22"/>
          <w:szCs w:val="22"/>
        </w:rPr>
      </w:pPr>
      <w:r w:rsidRPr="00F5457D">
        <w:rPr>
          <w:rFonts w:cs="Arial"/>
          <w:sz w:val="22"/>
          <w:szCs w:val="22"/>
        </w:rPr>
        <w:t>EQUIPAMENTOS DE MEDIÇÃO</w:t>
      </w:r>
    </w:p>
    <w:p w14:paraId="1CC98670" w14:textId="77777777" w:rsidR="00CB2BCC" w:rsidRPr="00F5457D" w:rsidRDefault="00CB2BCC" w:rsidP="00C34194">
      <w:pPr>
        <w:pStyle w:val="Ttulo3"/>
        <w:rPr>
          <w:rFonts w:cs="Arial"/>
          <w:sz w:val="22"/>
          <w:szCs w:val="22"/>
        </w:rPr>
      </w:pPr>
      <w:r w:rsidRPr="00F5457D">
        <w:rPr>
          <w:rFonts w:cs="Arial"/>
          <w:sz w:val="22"/>
          <w:szCs w:val="22"/>
        </w:rPr>
        <w:t>Medidor de nível de pressão sonora</w:t>
      </w:r>
    </w:p>
    <w:p w14:paraId="1CC9867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O medidor de nível de pressão sonora ou o sistema de medição deve atender às especificações da IEC 60651 para tipo 0, tipo 1 ou tipo 2.</w:t>
      </w:r>
    </w:p>
    <w:p w14:paraId="1CC98672" w14:textId="77777777" w:rsidR="00CB2BCC" w:rsidRPr="00F5457D" w:rsidRDefault="00CB2BCC" w:rsidP="00C34194">
      <w:pPr>
        <w:pStyle w:val="Ttulo3"/>
        <w:rPr>
          <w:rFonts w:cs="Arial"/>
          <w:sz w:val="22"/>
          <w:szCs w:val="22"/>
        </w:rPr>
      </w:pPr>
      <w:r w:rsidRPr="00F5457D">
        <w:rPr>
          <w:rFonts w:cs="Arial"/>
          <w:sz w:val="22"/>
          <w:szCs w:val="22"/>
        </w:rPr>
        <w:t>Calibrador acústico</w:t>
      </w:r>
    </w:p>
    <w:p w14:paraId="1CC9867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O calibrador acústico deve atender às especificações da IEC 60942, devendo ser classe 2, ou melhor.</w:t>
      </w:r>
    </w:p>
    <w:p w14:paraId="1CC98674" w14:textId="77777777" w:rsidR="00CB2BCC" w:rsidRPr="00F5457D" w:rsidRDefault="00CB2BCC" w:rsidP="00A7176B">
      <w:pPr>
        <w:pStyle w:val="Fox-corpo-texto"/>
        <w:widowControl/>
        <w:tabs>
          <w:tab w:val="clear" w:pos="1134"/>
        </w:tabs>
        <w:ind w:left="0" w:firstLine="0"/>
        <w:rPr>
          <w:rFonts w:ascii="Arial" w:hAnsi="Arial" w:cs="Arial"/>
          <w:sz w:val="22"/>
          <w:szCs w:val="22"/>
          <w:lang w:eastAsia="pt-BR" w:bidi="ar-SA"/>
        </w:rPr>
      </w:pPr>
    </w:p>
    <w:p w14:paraId="1CC98675" w14:textId="77777777" w:rsidR="00CB2BCC" w:rsidRPr="00F5457D" w:rsidRDefault="00CB2BCC" w:rsidP="00C34194">
      <w:pPr>
        <w:pStyle w:val="Ttulo2"/>
        <w:rPr>
          <w:rFonts w:cs="Arial"/>
          <w:sz w:val="22"/>
          <w:szCs w:val="22"/>
          <w:u w:val="single"/>
        </w:rPr>
      </w:pPr>
      <w:bookmarkStart w:id="15" w:name="__RefHeading___Toc4139468601"/>
      <w:bookmarkStart w:id="16" w:name="__RefHeading___Toc4139468591"/>
      <w:bookmarkEnd w:id="15"/>
      <w:bookmarkEnd w:id="16"/>
      <w:r w:rsidRPr="00F5457D">
        <w:rPr>
          <w:rFonts w:cs="Arial"/>
          <w:sz w:val="22"/>
          <w:szCs w:val="22"/>
          <w:u w:val="single"/>
        </w:rPr>
        <w:t>Procedimentos – Verificação de Níveis de Ruído máximo nos ambientes internos da edificação.</w:t>
      </w:r>
    </w:p>
    <w:p w14:paraId="1CC98676" w14:textId="77777777" w:rsidR="00CB2BCC" w:rsidRPr="00F5457D" w:rsidRDefault="00CB2BCC" w:rsidP="00C34194">
      <w:pPr>
        <w:pStyle w:val="Ttulo3"/>
        <w:rPr>
          <w:rFonts w:cs="Arial"/>
          <w:sz w:val="22"/>
          <w:szCs w:val="22"/>
        </w:rPr>
      </w:pPr>
      <w:r w:rsidRPr="00F5457D">
        <w:rPr>
          <w:rFonts w:cs="Arial"/>
          <w:sz w:val="22"/>
          <w:szCs w:val="22"/>
        </w:rPr>
        <w:t>O método de avaliação recomendado, baseado nas medições do nível sonoro dB com Objetivo de:</w:t>
      </w:r>
    </w:p>
    <w:p w14:paraId="1CC9867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Comprovar que os ruídos dentro da edificação se encontram dentro do estabelecido na ABNT NBR 10152. Tabela 1.</w:t>
      </w:r>
    </w:p>
    <w:p w14:paraId="1CC9867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Níveis superiores aos estabelecidos nesta Tabela são considerados de desconforto, sem necessariamente implicar risco de dano à saúde.</w:t>
      </w:r>
    </w:p>
    <w:p w14:paraId="1CC98679" w14:textId="77777777" w:rsidR="00CB2BCC" w:rsidRPr="00F5457D" w:rsidRDefault="00CB2BCC" w:rsidP="00C34194">
      <w:pPr>
        <w:pStyle w:val="Ttulo3"/>
        <w:rPr>
          <w:rFonts w:cs="Arial"/>
          <w:sz w:val="22"/>
          <w:szCs w:val="22"/>
        </w:rPr>
      </w:pPr>
      <w:r w:rsidRPr="00F5457D">
        <w:rPr>
          <w:rFonts w:cs="Arial"/>
          <w:sz w:val="22"/>
          <w:szCs w:val="22"/>
        </w:rPr>
        <w:t>Inclui:</w:t>
      </w:r>
    </w:p>
    <w:p w14:paraId="1CC9867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As medições em ambientes internos devem ser efetuadas a uma distância de no mínimo 1 m de quaisquer superfícies, como paredes, teto, pisos e móveis</w:t>
      </w:r>
    </w:p>
    <w:p w14:paraId="1CC9867B"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Os níveis de pressão sonora em interiores devem ser o resultado da média aritmética dos valores medidos em, pelo menos, três posições distintas, sempre que possível afastadas entre si em pelo menos 0,5 m.</w:t>
      </w:r>
    </w:p>
    <w:p w14:paraId="1CC9867C"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Caso o reclamante indique algum ponto de medição que não atenda as condições acima, o valor medido neste ponto também deve constar no relatório.</w:t>
      </w:r>
    </w:p>
    <w:p w14:paraId="1CC9867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As medições devem ser efetuadas nas condições de utilização normal do ambiente, isto é, com as janelas abertas ou fechadas de acordo com a indicação do reclamante.</w:t>
      </w:r>
    </w:p>
    <w:p w14:paraId="1CC9867E" w14:textId="77777777" w:rsidR="00CB2BCC" w:rsidRPr="00F5457D" w:rsidRDefault="00CB2BCC" w:rsidP="00C34194">
      <w:pPr>
        <w:rPr>
          <w:rFonts w:cs="Arial"/>
          <w:szCs w:val="22"/>
        </w:rPr>
      </w:pPr>
    </w:p>
    <w:p w14:paraId="1CC9867F" w14:textId="77777777" w:rsidR="00CB2BCC" w:rsidRPr="00F5457D" w:rsidRDefault="00CB2BCC" w:rsidP="00C34194">
      <w:pPr>
        <w:pStyle w:val="Ttulo2"/>
        <w:rPr>
          <w:rFonts w:cs="Arial"/>
          <w:sz w:val="22"/>
          <w:szCs w:val="22"/>
          <w:u w:val="single"/>
        </w:rPr>
      </w:pPr>
      <w:r w:rsidRPr="00F5457D">
        <w:rPr>
          <w:rFonts w:cs="Arial"/>
          <w:sz w:val="22"/>
          <w:szCs w:val="22"/>
          <w:u w:val="single"/>
        </w:rPr>
        <w:t>Procedimentos – Verificação de Níveis de Ruído máximo nos ambientes externos da edificação.</w:t>
      </w:r>
    </w:p>
    <w:p w14:paraId="1CC98680" w14:textId="77777777" w:rsidR="00CB2BCC" w:rsidRPr="00F5457D" w:rsidRDefault="00CB2BCC" w:rsidP="00C34194">
      <w:pPr>
        <w:pStyle w:val="Ttulo3"/>
        <w:rPr>
          <w:rFonts w:cs="Arial"/>
          <w:sz w:val="22"/>
          <w:szCs w:val="22"/>
        </w:rPr>
      </w:pPr>
      <w:r w:rsidRPr="00F5457D">
        <w:rPr>
          <w:rFonts w:cs="Arial"/>
          <w:sz w:val="22"/>
          <w:szCs w:val="22"/>
        </w:rPr>
        <w:t>O método de avaliação recomendado, baseado nas medições do nível sonoro dB(A) com Objetivo de:</w:t>
      </w:r>
    </w:p>
    <w:p w14:paraId="1CC9868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Comprovar que os ruídos na área externa se encontram dentro do estabelecido na ABNT NBR 10151. Tabela 1 (nível de critério de avaliação NCA para ambientes externos) </w:t>
      </w:r>
    </w:p>
    <w:p w14:paraId="1CC98682"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Níveis superiores aos estabelecidos nesta Tabela são considerados de desconforto, sem necessariamente implicar risco de dano à saúde.</w:t>
      </w:r>
    </w:p>
    <w:p w14:paraId="1CC98683" w14:textId="77777777" w:rsidR="00CB2BCC" w:rsidRPr="00F5457D" w:rsidRDefault="00CB2BCC" w:rsidP="00C34194">
      <w:pPr>
        <w:pStyle w:val="Ttulo3"/>
        <w:rPr>
          <w:rFonts w:cs="Arial"/>
          <w:sz w:val="22"/>
          <w:szCs w:val="22"/>
        </w:rPr>
      </w:pPr>
      <w:r w:rsidRPr="00F5457D">
        <w:rPr>
          <w:rFonts w:cs="Arial"/>
          <w:sz w:val="22"/>
          <w:szCs w:val="22"/>
        </w:rPr>
        <w:t>Inclui:</w:t>
      </w:r>
    </w:p>
    <w:p w14:paraId="1CC98684"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Deve-se prevenir o efeito de ventos sobre o microfone com o uso de protetor, conforme instruções do fabricante.</w:t>
      </w:r>
    </w:p>
    <w:p w14:paraId="1CC9868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1-No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CC9868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2-No exterior da habitação do reclamante, as medições devem ser efetuadas em pontos afastados aproximadamente 1,2 m do piso e pelo menos 2 m de quaisquer outras superfícies refletoras, como muros, paredes etc. </w:t>
      </w:r>
    </w:p>
    <w:p w14:paraId="1CC9868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Caso o reclamante indique algum ponto de medição que não atenda as condições de 1 e 2, o valor medido neste ponto também deve constar no relatório.</w:t>
      </w:r>
    </w:p>
    <w:p w14:paraId="1CC98688" w14:textId="77777777" w:rsidR="00CB2BCC" w:rsidRPr="00F5457D" w:rsidRDefault="00CB2BCC" w:rsidP="00C34194">
      <w:pPr>
        <w:pStyle w:val="Estilonivel1Arial11ptNegritoJustificado"/>
        <w:numPr>
          <w:ilvl w:val="0"/>
          <w:numId w:val="0"/>
        </w:numPr>
        <w:ind w:left="1134"/>
        <w:rPr>
          <w:rFonts w:cs="Arial"/>
          <w:sz w:val="22"/>
          <w:szCs w:val="22"/>
        </w:rPr>
      </w:pPr>
    </w:p>
    <w:p w14:paraId="1CC98689" w14:textId="77777777" w:rsidR="00CB2BCC" w:rsidRPr="00F5457D" w:rsidRDefault="00CB2BCC" w:rsidP="00A30445">
      <w:pPr>
        <w:pStyle w:val="Estilonivel111ptNegritoesquerdaAntes6ptDepoisde"/>
      </w:pPr>
      <w:bookmarkStart w:id="17" w:name="_Toc424033883"/>
      <w:bookmarkStart w:id="18" w:name="_Toc476825331"/>
      <w:r w:rsidRPr="00F5457D">
        <w:t>CERTIFICAÇÃO DA REDE LÓGICA E CABEAMENTO ESTRUTURADO</w:t>
      </w:r>
      <w:bookmarkEnd w:id="17"/>
      <w:bookmarkEnd w:id="18"/>
    </w:p>
    <w:p w14:paraId="1CC9868A" w14:textId="77777777" w:rsidR="00CB2BCC" w:rsidRPr="00F5457D" w:rsidRDefault="00CB2BCC" w:rsidP="00C34194">
      <w:pPr>
        <w:pStyle w:val="Ttulo3"/>
        <w:rPr>
          <w:rFonts w:cs="Arial"/>
          <w:sz w:val="22"/>
          <w:szCs w:val="22"/>
        </w:rPr>
      </w:pPr>
      <w:r w:rsidRPr="00F5457D">
        <w:rPr>
          <w:rFonts w:cs="Arial"/>
          <w:sz w:val="22"/>
          <w:szCs w:val="22"/>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 por fim a garantia dos serviços executados.</w:t>
      </w:r>
    </w:p>
    <w:p w14:paraId="1CC9868B" w14:textId="77777777" w:rsidR="00CB2BCC" w:rsidRPr="00F5457D" w:rsidRDefault="00CB2BCC" w:rsidP="00C34194">
      <w:pPr>
        <w:pStyle w:val="Ttulo2"/>
        <w:numPr>
          <w:ilvl w:val="0"/>
          <w:numId w:val="0"/>
        </w:numPr>
        <w:ind w:left="1134"/>
        <w:rPr>
          <w:rFonts w:cs="Arial"/>
          <w:sz w:val="22"/>
          <w:szCs w:val="22"/>
        </w:rPr>
      </w:pPr>
    </w:p>
    <w:p w14:paraId="1CC9868C" w14:textId="77777777" w:rsidR="00CB2BCC" w:rsidRPr="00F5457D" w:rsidRDefault="00CB2BCC" w:rsidP="00054551">
      <w:pPr>
        <w:pStyle w:val="Ttulo2"/>
        <w:rPr>
          <w:rFonts w:cs="Arial"/>
          <w:sz w:val="22"/>
          <w:szCs w:val="22"/>
        </w:rPr>
      </w:pPr>
      <w:r w:rsidRPr="00F5457D">
        <w:rPr>
          <w:rFonts w:cs="Arial"/>
          <w:sz w:val="22"/>
          <w:szCs w:val="22"/>
        </w:rPr>
        <w:t>REFERÊNCIAS NORMATIVAS</w:t>
      </w:r>
    </w:p>
    <w:p w14:paraId="1CC9868D" w14:textId="77777777" w:rsidR="00CB2BCC" w:rsidRPr="00F5457D" w:rsidRDefault="00CB2BCC" w:rsidP="00C34194">
      <w:pPr>
        <w:pStyle w:val="Ttulo3"/>
        <w:rPr>
          <w:rFonts w:cs="Arial"/>
          <w:sz w:val="22"/>
          <w:szCs w:val="22"/>
          <w:lang w:val="en-US"/>
        </w:rPr>
      </w:pPr>
      <w:r w:rsidRPr="00F5457D">
        <w:rPr>
          <w:rFonts w:cs="Arial"/>
          <w:sz w:val="22"/>
          <w:szCs w:val="22"/>
          <w:lang w:val="en-US"/>
        </w:rPr>
        <w:t>ANSI/TIA/EIA 568-C:</w:t>
      </w:r>
    </w:p>
    <w:p w14:paraId="1CC9868E"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ANSI/TIA/EIA 568-C.0: Generic Telecommunications Cabling for Customer Premises (Cabeamento de telecomunicações genérico para as dependências do cliente) – 02/02/2009.</w:t>
      </w:r>
    </w:p>
    <w:p w14:paraId="1CC9868F"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ANSI/TIA/EIA 568-C.1 – Commercial Building Telecommunications Cabling Standard (Cabeamento de telecomunicações para edifícios comerciais) – 02/02/2009.</w:t>
      </w:r>
    </w:p>
    <w:p w14:paraId="1CC98690"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ANSI/TIA/EIA 568-C.2 – Balanced Twisted-Pair Telecommunications Cabling and Components Standards (Cabeamento de telecomunicações em par balanceado e componentes) – 11/08/2009.</w:t>
      </w:r>
    </w:p>
    <w:p w14:paraId="1CC9869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ANSI/TIA/EIA 568-C.3 – Optical Fiber Cabling Components Standard (Componentes de cabeamento em fibra ótica.) – 18/06/2008.</w:t>
      </w:r>
    </w:p>
    <w:p w14:paraId="1CC98692" w14:textId="77777777" w:rsidR="00CB2BCC" w:rsidRPr="00F5457D" w:rsidRDefault="00CB2BCC" w:rsidP="00C34194">
      <w:pPr>
        <w:pStyle w:val="Ttulo3"/>
        <w:rPr>
          <w:rFonts w:cs="Arial"/>
          <w:sz w:val="22"/>
          <w:szCs w:val="22"/>
        </w:rPr>
      </w:pPr>
      <w:r w:rsidRPr="00F5457D">
        <w:rPr>
          <w:rFonts w:cs="Arial"/>
          <w:sz w:val="22"/>
          <w:szCs w:val="22"/>
          <w:lang w:val="en-US"/>
        </w:rPr>
        <w:t xml:space="preserve">TIA/EIA TSB-67: Transmission Performance Specification for Field Testing of Unshielded Twisted-Pair Cabling. </w:t>
      </w:r>
      <w:r w:rsidRPr="00F5457D">
        <w:rPr>
          <w:rFonts w:cs="Arial"/>
          <w:sz w:val="22"/>
          <w:szCs w:val="22"/>
        </w:rPr>
        <w:t>Esta norma especifica técnicas de medição em campo do link de transmissão de cabos UTP, descrevendo as características dos equipamentos, parâmetros mínimos e métodos de testes para cabos UTP nas várias categorias.</w:t>
      </w:r>
    </w:p>
    <w:p w14:paraId="1CC98693" w14:textId="77777777" w:rsidR="00CB2BCC" w:rsidRPr="00F5457D" w:rsidRDefault="00CB2BCC" w:rsidP="00C34194">
      <w:pPr>
        <w:pStyle w:val="Ttulo3"/>
        <w:rPr>
          <w:rFonts w:cs="Arial"/>
          <w:sz w:val="22"/>
          <w:szCs w:val="22"/>
        </w:rPr>
      </w:pPr>
      <w:r w:rsidRPr="00F5457D">
        <w:rPr>
          <w:rFonts w:cs="Arial"/>
          <w:sz w:val="22"/>
          <w:szCs w:val="22"/>
        </w:rPr>
        <w:t xml:space="preserve"> ANSI/EIA/TIA 526-14: Especificações de medidas em fibras ópticas multimodo. Esta norma especifica técnicas para medidas em fibras multimodo em um link, incluindo terminações, componentes passivos, fontes de luz, calibração e interpretação de resultados.</w:t>
      </w:r>
    </w:p>
    <w:p w14:paraId="1CC98694" w14:textId="77777777" w:rsidR="00CB2BCC" w:rsidRPr="00F5457D" w:rsidRDefault="00CB2BCC" w:rsidP="00C34194">
      <w:pPr>
        <w:pStyle w:val="Ttulo3"/>
        <w:rPr>
          <w:rFonts w:cs="Arial"/>
          <w:sz w:val="22"/>
          <w:szCs w:val="22"/>
        </w:rPr>
      </w:pPr>
      <w:r w:rsidRPr="00F5457D">
        <w:rPr>
          <w:rFonts w:cs="Arial"/>
          <w:sz w:val="22"/>
          <w:szCs w:val="22"/>
        </w:rPr>
        <w:t xml:space="preserve">ANSI/EIA/TIA 526-7: Especificações de medidas em fibras ópticas monomodo. </w:t>
      </w:r>
    </w:p>
    <w:p w14:paraId="1CC98695" w14:textId="77777777" w:rsidR="00CB2BCC" w:rsidRPr="00F5457D" w:rsidRDefault="00CB2BCC" w:rsidP="00C34194">
      <w:pPr>
        <w:pStyle w:val="Ttulo3"/>
        <w:rPr>
          <w:rFonts w:cs="Arial"/>
          <w:sz w:val="22"/>
          <w:szCs w:val="22"/>
          <w:lang w:val="en-US"/>
        </w:rPr>
      </w:pPr>
      <w:r w:rsidRPr="00F5457D">
        <w:rPr>
          <w:rFonts w:cs="Arial"/>
          <w:sz w:val="22"/>
          <w:szCs w:val="22"/>
          <w:lang w:val="en-US"/>
        </w:rPr>
        <w:t>TIA/EIA-455-59: Measurement of fiber point discontinuities using an OTDR.</w:t>
      </w:r>
    </w:p>
    <w:p w14:paraId="1CC98696" w14:textId="77777777" w:rsidR="00CB2BCC" w:rsidRPr="00F5457D" w:rsidRDefault="00CB2BCC" w:rsidP="00C34194">
      <w:pPr>
        <w:pStyle w:val="Ttulo3"/>
        <w:rPr>
          <w:rFonts w:cs="Arial"/>
          <w:sz w:val="22"/>
          <w:szCs w:val="22"/>
        </w:rPr>
      </w:pPr>
      <w:r w:rsidRPr="00F5457D">
        <w:rPr>
          <w:rFonts w:cs="Arial"/>
          <w:sz w:val="22"/>
          <w:szCs w:val="22"/>
        </w:rPr>
        <w:t>NBR 14565: Cabeamento estruturado para edifícios comerciais e data centers.</w:t>
      </w:r>
    </w:p>
    <w:p w14:paraId="1CC98697" w14:textId="77777777" w:rsidR="00CB2BCC" w:rsidRPr="00F5457D" w:rsidRDefault="00CB2BCC" w:rsidP="00C34194">
      <w:pPr>
        <w:rPr>
          <w:rFonts w:cs="Arial"/>
          <w:szCs w:val="22"/>
        </w:rPr>
      </w:pPr>
    </w:p>
    <w:p w14:paraId="1CC98698" w14:textId="77777777" w:rsidR="00CB2BCC" w:rsidRPr="00F5457D" w:rsidRDefault="00CB2BCC" w:rsidP="00054551">
      <w:pPr>
        <w:pStyle w:val="Ttulo2"/>
        <w:rPr>
          <w:rFonts w:cs="Arial"/>
          <w:sz w:val="22"/>
          <w:szCs w:val="22"/>
        </w:rPr>
      </w:pPr>
      <w:r w:rsidRPr="00F5457D">
        <w:rPr>
          <w:rFonts w:cs="Arial"/>
          <w:sz w:val="22"/>
          <w:szCs w:val="22"/>
        </w:rPr>
        <w:t>PROCEDIMENTOS GERAIS</w:t>
      </w:r>
    </w:p>
    <w:p w14:paraId="1CC98699" w14:textId="77777777" w:rsidR="00CB2BCC" w:rsidRPr="00F5457D" w:rsidRDefault="00CB2BCC" w:rsidP="00054551">
      <w:pPr>
        <w:pStyle w:val="Ttulo3"/>
        <w:rPr>
          <w:rFonts w:cs="Arial"/>
          <w:sz w:val="22"/>
          <w:szCs w:val="22"/>
        </w:rPr>
      </w:pPr>
      <w:r w:rsidRPr="00F5457D">
        <w:rPr>
          <w:rFonts w:cs="Arial"/>
          <w:sz w:val="22"/>
          <w:szCs w:val="22"/>
        </w:rPr>
        <w:t>Todos os procedimentos devem estar de acordo com as normas vigentes</w:t>
      </w:r>
    </w:p>
    <w:p w14:paraId="1CC9869A" w14:textId="77777777" w:rsidR="00CB2BCC" w:rsidRPr="00F5457D" w:rsidRDefault="00CB2BCC" w:rsidP="00C34194">
      <w:pPr>
        <w:pStyle w:val="Ttulo3"/>
        <w:rPr>
          <w:rFonts w:cs="Arial"/>
          <w:sz w:val="22"/>
          <w:szCs w:val="22"/>
        </w:rPr>
      </w:pPr>
      <w:r w:rsidRPr="00F5457D">
        <w:rPr>
          <w:rFonts w:cs="Arial"/>
          <w:sz w:val="22"/>
          <w:szCs w:val="22"/>
        </w:rPr>
        <w:t>A certificação deverá ser realizada após o término de todas as conectorizações, fusões, junções e organizações.</w:t>
      </w:r>
    </w:p>
    <w:p w14:paraId="1CC9869B" w14:textId="77777777" w:rsidR="00CB2BCC" w:rsidRPr="00F5457D" w:rsidRDefault="00CB2BCC" w:rsidP="00C34194">
      <w:pPr>
        <w:pStyle w:val="Ttulo3"/>
        <w:rPr>
          <w:rFonts w:cs="Arial"/>
          <w:sz w:val="22"/>
          <w:szCs w:val="22"/>
        </w:rPr>
      </w:pPr>
      <w:r w:rsidRPr="00F5457D">
        <w:rPr>
          <w:rFonts w:cs="Arial"/>
          <w:sz w:val="22"/>
          <w:szCs w:val="22"/>
        </w:rPr>
        <w:t>A empresa CONTRATADA deverá emitir relatório impresso de, pelo menos, um ponto lógico, para que esta confira os parâmetros calibrados no aparelho e autorize a certificação dos pontos lógicos restantes.</w:t>
      </w:r>
    </w:p>
    <w:p w14:paraId="1CC9869C" w14:textId="77777777" w:rsidR="00CB2BCC" w:rsidRPr="00F5457D" w:rsidRDefault="00CB2BCC" w:rsidP="00C34194">
      <w:pPr>
        <w:pStyle w:val="Ttulo3"/>
        <w:rPr>
          <w:rFonts w:cs="Arial"/>
          <w:sz w:val="22"/>
          <w:szCs w:val="22"/>
        </w:rPr>
      </w:pPr>
      <w:r w:rsidRPr="00F5457D">
        <w:rPr>
          <w:rFonts w:cs="Arial"/>
          <w:sz w:val="22"/>
          <w:szCs w:val="22"/>
        </w:rPr>
        <w:t>Deverá ser definido qual será o tipo de certificação a ser realizada, conforme indicado abaixo:</w:t>
      </w:r>
    </w:p>
    <w:p w14:paraId="1CC9869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Certificação do Cabeamento Metálico (verificação e testes de todos os pontos instalados na rede);</w:t>
      </w:r>
    </w:p>
    <w:p w14:paraId="1CC9869E"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Certificação do Cabeamento Óptico (realização de testes de atenuação do cabeamento óptico com a utilização de refletômetros ópticos – OTDR’s, por exemplo);</w:t>
      </w:r>
    </w:p>
    <w:p w14:paraId="1CC9869F"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Certificação Completa (envolve integralmente o distribuidor, o fabricante, a infraestrutura e o executor. Sugere-se, sempre que possível, que todos os dispositivos sejam do mesmo fabricante, para garantia de melhor desempenho);</w:t>
      </w:r>
    </w:p>
    <w:p w14:paraId="1CC986A0" w14:textId="77777777" w:rsidR="00CB2BCC" w:rsidRPr="00F5457D" w:rsidRDefault="00CB2BCC" w:rsidP="00C34194">
      <w:pPr>
        <w:pStyle w:val="Ttulo3"/>
        <w:rPr>
          <w:rFonts w:cs="Arial"/>
          <w:sz w:val="22"/>
          <w:szCs w:val="22"/>
        </w:rPr>
      </w:pPr>
      <w:r w:rsidRPr="00F5457D">
        <w:rPr>
          <w:rFonts w:cs="Arial"/>
          <w:sz w:val="22"/>
          <w:szCs w:val="22"/>
        </w:rPr>
        <w:t>Para coleta dos parâmetros e realização dos testes é imprescindível a utilização de equipamentos específicos, tais como: testadores de cabos (scanner), OTDR’s (ópticos), Power meter (medidores de potência), certificadores de precisão e outros.</w:t>
      </w:r>
    </w:p>
    <w:p w14:paraId="1CC986A1" w14:textId="77777777" w:rsidR="00CB2BCC" w:rsidRPr="00F5457D" w:rsidRDefault="00CB2BCC" w:rsidP="00C34194">
      <w:pPr>
        <w:pStyle w:val="Ttulo3"/>
        <w:rPr>
          <w:rFonts w:cs="Arial"/>
          <w:sz w:val="22"/>
          <w:szCs w:val="22"/>
        </w:rPr>
      </w:pPr>
      <w:r w:rsidRPr="00F5457D">
        <w:rPr>
          <w:rFonts w:cs="Arial"/>
          <w:sz w:val="22"/>
          <w:szCs w:val="22"/>
        </w:rPr>
        <w:t>Todos os resultados devem ser armazenados pelo equipamento utilizado, garantindo a veracidade dos dados coletados e a realização da emissão do relatório final.</w:t>
      </w:r>
    </w:p>
    <w:p w14:paraId="1CC986A2" w14:textId="77777777" w:rsidR="00CB2BCC" w:rsidRPr="00F5457D" w:rsidRDefault="00CB2BCC" w:rsidP="00C34194">
      <w:pPr>
        <w:pStyle w:val="Ttulo3"/>
        <w:rPr>
          <w:rFonts w:cs="Arial"/>
          <w:sz w:val="22"/>
          <w:szCs w:val="22"/>
        </w:rPr>
      </w:pPr>
      <w:r w:rsidRPr="00F5457D">
        <w:rPr>
          <w:rFonts w:cs="Arial"/>
          <w:sz w:val="22"/>
          <w:szCs w:val="22"/>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CC986A3" w14:textId="77777777" w:rsidR="00CB2BCC" w:rsidRPr="00F5457D" w:rsidRDefault="00CB2BCC" w:rsidP="00C34194">
      <w:pPr>
        <w:pStyle w:val="Ttulo3"/>
        <w:rPr>
          <w:rFonts w:cs="Arial"/>
          <w:sz w:val="22"/>
          <w:szCs w:val="22"/>
        </w:rPr>
      </w:pPr>
      <w:r w:rsidRPr="00F5457D">
        <w:rPr>
          <w:rFonts w:cs="Arial"/>
          <w:sz w:val="22"/>
          <w:szCs w:val="22"/>
        </w:rPr>
        <w:t>O Relatório Técnico deverá apontar todas as informações coletados em campo, indicando a condição da transmissão de dados do enlace em aceito ou não aceito, passa ou não passa, aprovado ou não aprovado, ou conforme o modelo do equipamento certificador.</w:t>
      </w:r>
    </w:p>
    <w:p w14:paraId="1CC986A4" w14:textId="77777777" w:rsidR="00CB2BCC" w:rsidRPr="00F5457D" w:rsidRDefault="00CB2BCC" w:rsidP="00C34194">
      <w:pPr>
        <w:pStyle w:val="Ttulo3"/>
        <w:rPr>
          <w:rFonts w:cs="Arial"/>
          <w:sz w:val="22"/>
          <w:szCs w:val="22"/>
        </w:rPr>
      </w:pPr>
      <w:r w:rsidRPr="00F5457D">
        <w:rPr>
          <w:rFonts w:cs="Arial"/>
          <w:sz w:val="22"/>
          <w:szCs w:val="22"/>
        </w:rPr>
        <w:t xml:space="preserve">Todos os relatórios deverão ser identificados e assinados por seus responsáveis, e, </w:t>
      </w:r>
      <w:proofErr w:type="gramStart"/>
      <w:r w:rsidRPr="00F5457D">
        <w:rPr>
          <w:rFonts w:cs="Arial"/>
          <w:sz w:val="22"/>
          <w:szCs w:val="22"/>
        </w:rPr>
        <w:t>portanto</w:t>
      </w:r>
      <w:proofErr w:type="gramEnd"/>
      <w:r w:rsidRPr="00F5457D">
        <w:rPr>
          <w:rFonts w:cs="Arial"/>
          <w:sz w:val="22"/>
          <w:szCs w:val="22"/>
        </w:rPr>
        <w:t xml:space="preserve"> deverão conter:</w:t>
      </w:r>
    </w:p>
    <w:p w14:paraId="1CC986A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Nome e Assinatura do Engenheiro responsável;</w:t>
      </w:r>
    </w:p>
    <w:p w14:paraId="1CC986A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Nome e Assinatura dos Executores dos Testes (técnicos e engenheiros).</w:t>
      </w:r>
    </w:p>
    <w:p w14:paraId="1CC986A7" w14:textId="77777777" w:rsidR="00CB2BCC" w:rsidRPr="00F5457D" w:rsidRDefault="00CB2BCC" w:rsidP="00C34194">
      <w:pPr>
        <w:pStyle w:val="Ttulo3"/>
        <w:rPr>
          <w:rFonts w:cs="Arial"/>
          <w:sz w:val="22"/>
          <w:szCs w:val="22"/>
        </w:rPr>
      </w:pPr>
      <w:r w:rsidRPr="00F5457D">
        <w:rPr>
          <w:rFonts w:cs="Arial"/>
          <w:sz w:val="22"/>
          <w:szCs w:val="22"/>
        </w:rPr>
        <w:t>Deverá ser estabelecido no Relatório Técnico um prazo de garantia da certificação realizada.</w:t>
      </w:r>
    </w:p>
    <w:p w14:paraId="1CC986A8" w14:textId="77777777" w:rsidR="00CB2BCC" w:rsidRPr="00F5457D" w:rsidRDefault="00CB2BCC" w:rsidP="00C34194">
      <w:pPr>
        <w:pStyle w:val="Ttulo3"/>
        <w:rPr>
          <w:rFonts w:cs="Arial"/>
          <w:sz w:val="22"/>
          <w:szCs w:val="22"/>
        </w:rPr>
      </w:pPr>
      <w:r w:rsidRPr="00F5457D">
        <w:rPr>
          <w:rFonts w:cs="Arial"/>
          <w:sz w:val="22"/>
          <w:szCs w:val="22"/>
        </w:rPr>
        <w:t>Deverão constar, em todos os Relatórios Técnicos:</w:t>
      </w:r>
    </w:p>
    <w:p w14:paraId="1CC986A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Data da realização dos testes;</w:t>
      </w:r>
    </w:p>
    <w:p w14:paraId="1CC986A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Identificação dos equipamentos e dispositivos dos enlaces (patch panel, patch cords, conectores, cabeamento instalado – descrever tipo de cabo e categoria, identificação de marca e modelo);</w:t>
      </w:r>
    </w:p>
    <w:p w14:paraId="1CC986AB"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Identificação dos equipamentos certificadores: marca, modelo e documento de certificação de calibração.</w:t>
      </w:r>
    </w:p>
    <w:p w14:paraId="1CC986AC" w14:textId="77777777" w:rsidR="00CB2BCC" w:rsidRPr="00F5457D" w:rsidRDefault="00CB2BCC" w:rsidP="00C34194">
      <w:pPr>
        <w:rPr>
          <w:rFonts w:cs="Arial"/>
          <w:szCs w:val="22"/>
        </w:rPr>
      </w:pPr>
    </w:p>
    <w:p w14:paraId="1CC986AD" w14:textId="77777777" w:rsidR="00CB2BCC" w:rsidRPr="00F5457D" w:rsidRDefault="00CB2BCC" w:rsidP="00C34194">
      <w:pPr>
        <w:pStyle w:val="Ttulo2"/>
        <w:rPr>
          <w:rFonts w:cs="Arial"/>
          <w:b/>
          <w:sz w:val="22"/>
          <w:szCs w:val="22"/>
          <w:u w:val="single"/>
        </w:rPr>
      </w:pPr>
      <w:bookmarkStart w:id="19" w:name="_Toc413053131"/>
      <w:bookmarkStart w:id="20" w:name="_Toc414278571"/>
      <w:r w:rsidRPr="00F5457D">
        <w:rPr>
          <w:rFonts w:cs="Arial"/>
          <w:sz w:val="22"/>
          <w:szCs w:val="22"/>
          <w:u w:val="single"/>
        </w:rPr>
        <w:t>Procedimentos – Certificação Cabeamento Metálico – UTP</w:t>
      </w:r>
      <w:bookmarkEnd w:id="19"/>
      <w:bookmarkEnd w:id="20"/>
      <w:r w:rsidRPr="00F5457D">
        <w:rPr>
          <w:rFonts w:cs="Arial"/>
          <w:sz w:val="22"/>
          <w:szCs w:val="22"/>
          <w:u w:val="single"/>
        </w:rPr>
        <w:t xml:space="preserve"> (CRL)</w:t>
      </w:r>
    </w:p>
    <w:p w14:paraId="1CC986AE" w14:textId="77777777" w:rsidR="00CB2BCC" w:rsidRPr="00F5457D" w:rsidRDefault="00CB2BCC" w:rsidP="00C34194">
      <w:pPr>
        <w:pStyle w:val="Ttulo3"/>
        <w:rPr>
          <w:rFonts w:cs="Arial"/>
          <w:sz w:val="22"/>
          <w:szCs w:val="22"/>
        </w:rPr>
      </w:pPr>
      <w:r w:rsidRPr="00F5457D">
        <w:rPr>
          <w:rFonts w:cs="Arial"/>
          <w:sz w:val="22"/>
          <w:szCs w:val="22"/>
        </w:rPr>
        <w:t>A certificação do cabeamento UTP deve estar em conformidade com a TIA/EIA TSB-67 e demais normas aplicáveis;</w:t>
      </w:r>
    </w:p>
    <w:p w14:paraId="1CC986AF" w14:textId="77777777" w:rsidR="00CB2BCC" w:rsidRPr="00F5457D" w:rsidRDefault="00CB2BCC" w:rsidP="00C34194">
      <w:pPr>
        <w:pStyle w:val="Ttulo3"/>
        <w:rPr>
          <w:rFonts w:cs="Arial"/>
          <w:sz w:val="22"/>
          <w:szCs w:val="22"/>
        </w:rPr>
      </w:pPr>
      <w:r w:rsidRPr="00F5457D">
        <w:rPr>
          <w:rFonts w:cs="Arial"/>
          <w:sz w:val="22"/>
          <w:szCs w:val="22"/>
        </w:rPr>
        <w:t>Deveram ser realizados os seguintes testes:</w:t>
      </w:r>
    </w:p>
    <w:p w14:paraId="1CC986B0"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Wiremap (mapa de fios); </w:t>
      </w:r>
      <w:proofErr w:type="gramStart"/>
      <w:r w:rsidRPr="00F5457D">
        <w:rPr>
          <w:rFonts w:cs="Arial"/>
          <w:sz w:val="22"/>
          <w:szCs w:val="22"/>
        </w:rPr>
        <w:t>Diagnóstico</w:t>
      </w:r>
      <w:proofErr w:type="gramEnd"/>
      <w:r w:rsidRPr="00F5457D">
        <w:rPr>
          <w:rFonts w:cs="Arial"/>
          <w:sz w:val="22"/>
          <w:szCs w:val="22"/>
        </w:rPr>
        <w:t xml:space="preserve"> de continuidade de cada fio e seu respectivo posicionamento no conector; Diagnóstico de conectorização pino-a-pino, continuidade do condutor, curto entre condutores, pares cruzados, pares separados, par reverso.</w:t>
      </w:r>
    </w:p>
    <w:p w14:paraId="1CC986B1"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Comprimento do cabo lançado (Length); Verificação da diferenciação entre pares (máximo de 6 mm); Verificação do tamanho do canal (máximo 100 m); Verificação do tamanho máximo do link permanente (90 m).</w:t>
      </w:r>
    </w:p>
    <w:p w14:paraId="1CC986B2"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Atenuação (Attenuation ou Insertion Loss); Verificação da resistência elétrica do cabo, conforme seu comprimento e frequência; Verificação de perda de inserção, conforme a categoria do cabo; Verificação de perda de inserção, conforme a flexibilidade dos condutores.</w:t>
      </w:r>
    </w:p>
    <w:p w14:paraId="1CC986B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NEXT (Near End Crosstalk); Aferição da transmissão em várias frequências; Teste realizado em ambas as direções; Verificação da quantidade de conexões no link; Verificação da qualidade dos dispositivos instalados (patch panel, por exemplo).</w:t>
      </w:r>
    </w:p>
    <w:p w14:paraId="1CC986B4"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PS-NEXT (Power Sum NEXT);</w:t>
      </w:r>
      <w:r w:rsidRPr="00D00835">
        <w:rPr>
          <w:rFonts w:cs="Arial"/>
          <w:sz w:val="22"/>
          <w:szCs w:val="22"/>
        </w:rPr>
        <w:t xml:space="preserve"> Teste com efetuação de cálculo com somatório de NEXT de todos os pares com</w:t>
      </w:r>
      <w:r w:rsidRPr="00F5457D">
        <w:rPr>
          <w:rFonts w:cs="Arial"/>
          <w:sz w:val="22"/>
          <w:szCs w:val="22"/>
        </w:rPr>
        <w:t xml:space="preserve"> </w:t>
      </w:r>
      <w:r w:rsidRPr="00D00835">
        <w:rPr>
          <w:rFonts w:cs="Arial"/>
          <w:sz w:val="22"/>
          <w:szCs w:val="22"/>
        </w:rPr>
        <w:t>relação a um único par.</w:t>
      </w:r>
    </w:p>
    <w:p w14:paraId="1CC986B5"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FEXT (Far End Crosstalk); Realização dos testes NEXT na outra extremidade do cabo.</w:t>
      </w:r>
    </w:p>
    <w:p w14:paraId="1CC986B6"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ELFEXT (Equal Level Far End Crosstalk); Teste com efetuação de cálculo com diferença de FEXT e perda de inserção.</w:t>
      </w:r>
    </w:p>
    <w:p w14:paraId="1CC986B7"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PS-ELFEXT (Power Sum Equal Level Far End Crosstalk): Teste com efetuação de cálculo com somatório das influências de ELFEXT em cada par.</w:t>
      </w:r>
    </w:p>
    <w:p w14:paraId="1CC986B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Perda de Retorno (Return Loss); Teste com diagnóstico da diferença de impedância da parte do sinal que retorna e da parte que continua.</w:t>
      </w:r>
    </w:p>
    <w:p w14:paraId="1CC986B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Atraso de propagação (Propagation Delay); Teste com diagnóstico do tempo que o sinal leva para atingir o outro lado do cabo.</w:t>
      </w:r>
    </w:p>
    <w:p w14:paraId="1CC986B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Desvio de propagação (Delay Skew ou Propagation Delay Skew); Teste com diagnóstico da diferença do tempo entre o par de condutores que apresenta o maior atraso de propagação e o par que apresenta o menor atraso de propagação.</w:t>
      </w:r>
    </w:p>
    <w:p w14:paraId="1CC986BB"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ACR (Attenuation to Crosstalk Ratio); Teste com efetuação de cálculo da diferença do valor de NEXT e da atenuação (perda por inserção).</w:t>
      </w:r>
    </w:p>
    <w:p w14:paraId="1CC986BC"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PS-ACR (Power Sum Attenuation to Crosstalk Ratio); Teste com efetuação de cálculo da soma do valor das influências individuais de ACR nos pares do cabo.</w:t>
      </w:r>
    </w:p>
    <w:p w14:paraId="1CC986BD"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Linha cruzada adjacente (Alien Crosstalk); Diagnóstico da influência do sinal de um par de condutores sobre outro par em um cabo diferente.</w:t>
      </w:r>
    </w:p>
    <w:p w14:paraId="1CC986BE"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Insertion Loss Deviation; Teste com efetuação de cálculo da diferença entre os valores da perda de inserção esperada e os efetivamente medidos; Ainda não existem valores definidos para aprovação deste teste.</w:t>
      </w:r>
    </w:p>
    <w:p w14:paraId="1CC986BF"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 DC Loop Resistance. Diagnóstico da resistência ôhmica total dos condutores espinados em uma das terminações do cabo (teste dinâmico de impedância).</w:t>
      </w:r>
    </w:p>
    <w:p w14:paraId="1CC986C0" w14:textId="77777777" w:rsidR="00CB2BCC" w:rsidRPr="00F5457D" w:rsidRDefault="00CB2BCC" w:rsidP="00C34194">
      <w:pPr>
        <w:pStyle w:val="Ttulo2"/>
        <w:rPr>
          <w:rFonts w:cs="Arial"/>
          <w:sz w:val="22"/>
          <w:szCs w:val="22"/>
          <w:u w:val="single"/>
        </w:rPr>
      </w:pPr>
      <w:bookmarkStart w:id="21" w:name="_Toc414278572"/>
      <w:r w:rsidRPr="00F5457D">
        <w:rPr>
          <w:rFonts w:cs="Arial"/>
          <w:sz w:val="22"/>
          <w:szCs w:val="22"/>
          <w:u w:val="single"/>
        </w:rPr>
        <w:t>Procedimentos – Certificação Cabeamento Óptico</w:t>
      </w:r>
      <w:bookmarkEnd w:id="21"/>
      <w:r w:rsidRPr="00F5457D">
        <w:rPr>
          <w:rFonts w:cs="Arial"/>
          <w:sz w:val="22"/>
          <w:szCs w:val="22"/>
          <w:u w:val="single"/>
        </w:rPr>
        <w:t xml:space="preserve"> (CCO)</w:t>
      </w:r>
    </w:p>
    <w:p w14:paraId="1CC986C1" w14:textId="77777777" w:rsidR="00CB2BCC" w:rsidRPr="00F5457D" w:rsidRDefault="00CB2BCC" w:rsidP="00C34194">
      <w:pPr>
        <w:pStyle w:val="Ttulo3"/>
        <w:rPr>
          <w:rFonts w:cs="Arial"/>
          <w:sz w:val="22"/>
          <w:szCs w:val="22"/>
        </w:rPr>
      </w:pPr>
      <w:r w:rsidRPr="00F5457D">
        <w:rPr>
          <w:rStyle w:val="Ttulo3Char"/>
          <w:rFonts w:cs="Arial"/>
          <w:sz w:val="22"/>
          <w:szCs w:val="22"/>
        </w:rPr>
        <w:t>A certificação do cabeamento óptico deve estar em conformidade com as normas ANSI/TIA/EIA-568-</w:t>
      </w:r>
      <w:r w:rsidRPr="00F5457D">
        <w:rPr>
          <w:rFonts w:cs="Arial"/>
          <w:sz w:val="22"/>
          <w:szCs w:val="22"/>
        </w:rPr>
        <w:t>C.3, TIA 526-7, TIA 526-14-A, TIA/EIA-455-59 e demais normas aplicáveis.</w:t>
      </w:r>
    </w:p>
    <w:p w14:paraId="1CC986C2" w14:textId="77777777" w:rsidR="00CB2BCC" w:rsidRPr="00F5457D" w:rsidRDefault="00CB2BCC" w:rsidP="00C34194">
      <w:pPr>
        <w:pStyle w:val="Ttulo3"/>
        <w:rPr>
          <w:rFonts w:cs="Arial"/>
          <w:sz w:val="22"/>
          <w:szCs w:val="22"/>
        </w:rPr>
      </w:pPr>
      <w:r w:rsidRPr="00F5457D">
        <w:rPr>
          <w:rStyle w:val="Ttulo3Char"/>
          <w:rFonts w:cs="Arial"/>
          <w:sz w:val="22"/>
          <w:szCs w:val="22"/>
        </w:rPr>
        <w:t>Torna-se necessário a execução de dois níveis de testes, obedecendo aos padrões indicados em</w:t>
      </w:r>
      <w:r w:rsidRPr="00F5457D">
        <w:rPr>
          <w:rFonts w:cs="Arial"/>
          <w:sz w:val="22"/>
          <w:szCs w:val="22"/>
        </w:rPr>
        <w:t xml:space="preserve"> norma, sendo estes:</w:t>
      </w:r>
    </w:p>
    <w:p w14:paraId="1CC986C3"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Nível 1 – Regime de Teste Básico;</w:t>
      </w:r>
    </w:p>
    <w:p w14:paraId="1CC986C4"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Nível 2 – Regime de Teste estendido.</w:t>
      </w:r>
    </w:p>
    <w:p w14:paraId="1CC986C5" w14:textId="77777777" w:rsidR="00CB2BCC" w:rsidRPr="00F5457D" w:rsidRDefault="00CB2BCC" w:rsidP="00C34194">
      <w:pPr>
        <w:pStyle w:val="Ttulo3"/>
        <w:rPr>
          <w:rFonts w:cs="Arial"/>
          <w:sz w:val="22"/>
          <w:szCs w:val="22"/>
        </w:rPr>
      </w:pPr>
      <w:r w:rsidRPr="00F5457D">
        <w:rPr>
          <w:rStyle w:val="Ttulo3Char"/>
          <w:rFonts w:cs="Arial"/>
          <w:sz w:val="22"/>
          <w:szCs w:val="22"/>
        </w:rPr>
        <w:t>Os testes de Nível 1, em regime de testes básicos, deverão ser executados com um Power Meter e</w:t>
      </w:r>
      <w:r w:rsidRPr="00F5457D">
        <w:rPr>
          <w:rFonts w:cs="Arial"/>
          <w:sz w:val="22"/>
          <w:szCs w:val="22"/>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CC986C6" w14:textId="77777777" w:rsidR="00CB2BCC" w:rsidRPr="00F5457D" w:rsidRDefault="00CB2BCC" w:rsidP="00C34194">
      <w:pPr>
        <w:pStyle w:val="Ttulo3"/>
        <w:rPr>
          <w:rFonts w:cs="Arial"/>
          <w:sz w:val="22"/>
          <w:szCs w:val="22"/>
        </w:rPr>
      </w:pPr>
      <w:r w:rsidRPr="00F5457D">
        <w:rPr>
          <w:rStyle w:val="Ttulo3Char"/>
          <w:rFonts w:cs="Arial"/>
          <w:sz w:val="22"/>
          <w:szCs w:val="22"/>
        </w:rPr>
        <w:t>Os testes de Nível 2, em regime de testes estendidos, deverão ser realizados com refletômetros</w:t>
      </w:r>
      <w:r w:rsidRPr="00F5457D">
        <w:rPr>
          <w:rFonts w:cs="Arial"/>
          <w:sz w:val="22"/>
          <w:szCs w:val="22"/>
        </w:rPr>
        <w:t xml:space="preserve"> ópticos no domínio do tempo (OTDR’s), objetivando a detecção de possíveis falhas e problemas no meio testado. Neste nível de testes é possível visualizar o desempenho de todos os dispositivos do meio testado.</w:t>
      </w:r>
    </w:p>
    <w:p w14:paraId="1CC986C7" w14:textId="77777777" w:rsidR="00CB2BCC" w:rsidRPr="00F5457D" w:rsidRDefault="00CB2BCC" w:rsidP="00C34194">
      <w:pPr>
        <w:pStyle w:val="Ttulo3"/>
        <w:rPr>
          <w:rFonts w:cs="Arial"/>
          <w:sz w:val="22"/>
          <w:szCs w:val="22"/>
        </w:rPr>
      </w:pPr>
      <w:r w:rsidRPr="00F5457D">
        <w:rPr>
          <w:rFonts w:cs="Arial"/>
          <w:sz w:val="22"/>
          <w:szCs w:val="22"/>
        </w:rPr>
        <w:t>Deverá ser executada, basicamente, a verificação dos seguintes testes em campo:</w:t>
      </w:r>
    </w:p>
    <w:p w14:paraId="1CC986C8"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Continuidade; Teste básico para diagnóstico e verificação da ultrapassagem da luz pelo enlace; </w:t>
      </w:r>
      <w:proofErr w:type="gramStart"/>
      <w:r w:rsidRPr="00F5457D">
        <w:rPr>
          <w:rFonts w:cs="Arial"/>
          <w:sz w:val="22"/>
          <w:szCs w:val="22"/>
        </w:rPr>
        <w:t>Deverá</w:t>
      </w:r>
      <w:proofErr w:type="gramEnd"/>
      <w:r w:rsidRPr="00F5457D">
        <w:rPr>
          <w:rFonts w:cs="Arial"/>
          <w:sz w:val="22"/>
          <w:szCs w:val="22"/>
        </w:rPr>
        <w:t xml:space="preserve"> ser possível encontrar, a partir deste teste, as extremidades da fibra utilizada.</w:t>
      </w:r>
    </w:p>
    <w:p w14:paraId="1CC986C9"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Comprimento do cabo lançado (lenght): Verificação do tamanho do canal.</w:t>
      </w:r>
    </w:p>
    <w:p w14:paraId="1CC986CA" w14:textId="77777777" w:rsidR="00CB2BCC" w:rsidRPr="00F5457D" w:rsidRDefault="00CB2BCC" w:rsidP="00122D60">
      <w:pPr>
        <w:pStyle w:val="Ttulo4"/>
        <w:numPr>
          <w:ilvl w:val="0"/>
          <w:numId w:val="6"/>
        </w:numPr>
        <w:rPr>
          <w:rFonts w:cs="Arial"/>
          <w:sz w:val="22"/>
          <w:szCs w:val="22"/>
        </w:rPr>
      </w:pPr>
      <w:r w:rsidRPr="00F5457D">
        <w:rPr>
          <w:rFonts w:cs="Arial"/>
          <w:sz w:val="22"/>
          <w:szCs w:val="22"/>
        </w:rPr>
        <w:t xml:space="preserve">Atenuação: Unidade de medida: decibéis; </w:t>
      </w:r>
      <w:proofErr w:type="gramStart"/>
      <w:r w:rsidRPr="00F5457D">
        <w:rPr>
          <w:rFonts w:cs="Arial"/>
          <w:sz w:val="22"/>
          <w:szCs w:val="22"/>
        </w:rPr>
        <w:t>Este</w:t>
      </w:r>
      <w:proofErr w:type="gramEnd"/>
      <w:r w:rsidRPr="00F5457D">
        <w:rPr>
          <w:rFonts w:cs="Arial"/>
          <w:sz w:val="22"/>
          <w:szCs w:val="22"/>
        </w:rPr>
        <w:t xml:space="preserve"> teste poderá ser realizado com medidores de potência (Power Meters) ou refletômetros ópticos no domínio do tempo (OTDR’s); Indicador de atenuação absoluta.</w:t>
      </w:r>
    </w:p>
    <w:p w14:paraId="1CC986CB" w14:textId="77777777" w:rsidR="00CB2BCC" w:rsidRPr="00F5457D" w:rsidRDefault="00CB2BCC" w:rsidP="00C34194">
      <w:pPr>
        <w:pStyle w:val="Ttulo2"/>
        <w:numPr>
          <w:ilvl w:val="0"/>
          <w:numId w:val="0"/>
        </w:numPr>
        <w:ind w:left="1134"/>
        <w:rPr>
          <w:rFonts w:cs="Arial"/>
          <w:sz w:val="22"/>
          <w:szCs w:val="22"/>
        </w:rPr>
      </w:pPr>
    </w:p>
    <w:p w14:paraId="1CC986CC" w14:textId="77777777" w:rsidR="00CB2BCC" w:rsidRDefault="00CB2BCC" w:rsidP="00F16286">
      <w:pPr>
        <w:pStyle w:val="Estilonivel111ptNegritoesquerdaAntes6ptDepoisde"/>
      </w:pPr>
      <w:bookmarkStart w:id="22" w:name="_Toc424033887"/>
      <w:bookmarkStart w:id="23" w:name="_Toc476825332"/>
      <w:r>
        <w:t>LEVANTAMENTO PLANIALTIMÉTRICO</w:t>
      </w:r>
      <w:r w:rsidRPr="00F5457D">
        <w:t xml:space="preserve"> (</w:t>
      </w:r>
      <w:r>
        <w:t>LPA</w:t>
      </w:r>
      <w:r w:rsidRPr="00F5457D">
        <w:t>)</w:t>
      </w:r>
      <w:bookmarkEnd w:id="22"/>
      <w:bookmarkEnd w:id="23"/>
    </w:p>
    <w:p w14:paraId="1CC986CD" w14:textId="77777777" w:rsidR="00CB2BCC" w:rsidRPr="00F16286" w:rsidRDefault="00CB2BCC" w:rsidP="00F16286">
      <w:pPr>
        <w:pStyle w:val="Ttulo2"/>
        <w:rPr>
          <w:rFonts w:cs="Arial"/>
          <w:sz w:val="22"/>
          <w:szCs w:val="22"/>
        </w:rPr>
      </w:pPr>
      <w:r w:rsidRPr="00F16286">
        <w:rPr>
          <w:rFonts w:cs="Arial"/>
          <w:sz w:val="22"/>
          <w:szCs w:val="22"/>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CC986CE" w14:textId="77777777" w:rsidR="00CB2BCC" w:rsidRDefault="00CB2BCC" w:rsidP="00F16286">
      <w:pPr>
        <w:pStyle w:val="nivel2"/>
        <w:numPr>
          <w:ilvl w:val="0"/>
          <w:numId w:val="0"/>
        </w:numPr>
        <w:ind w:left="1134"/>
      </w:pPr>
    </w:p>
    <w:p w14:paraId="1CC986CF" w14:textId="77777777" w:rsidR="00CB2BCC" w:rsidRPr="00F5457D" w:rsidRDefault="00CB2BCC" w:rsidP="00F16286">
      <w:pPr>
        <w:pStyle w:val="Ttulo2"/>
        <w:rPr>
          <w:rFonts w:cs="Arial"/>
          <w:sz w:val="22"/>
          <w:szCs w:val="22"/>
        </w:rPr>
      </w:pPr>
      <w:r w:rsidRPr="00F5457D">
        <w:rPr>
          <w:rFonts w:cs="Arial"/>
          <w:sz w:val="22"/>
          <w:szCs w:val="22"/>
        </w:rPr>
        <w:t>REFERÊNCIAS NORMATIVAS</w:t>
      </w:r>
    </w:p>
    <w:p w14:paraId="1CC986D0" w14:textId="77777777" w:rsidR="00CB2BCC" w:rsidRPr="00F16286" w:rsidRDefault="00CB2BCC" w:rsidP="00F16286">
      <w:pPr>
        <w:pStyle w:val="Ttulo3"/>
        <w:rPr>
          <w:rFonts w:cs="Arial"/>
          <w:sz w:val="22"/>
          <w:szCs w:val="22"/>
        </w:rPr>
      </w:pPr>
      <w:r w:rsidRPr="00F16286">
        <w:rPr>
          <w:rFonts w:cs="Arial"/>
          <w:sz w:val="22"/>
          <w:szCs w:val="22"/>
        </w:rPr>
        <w:t>ABNT NBR 13133:1996 - Execução de levantamento topográfico;</w:t>
      </w:r>
    </w:p>
    <w:p w14:paraId="1CC986D1" w14:textId="77777777" w:rsidR="00CB2BCC" w:rsidRPr="00F16286" w:rsidRDefault="00CB2BCC" w:rsidP="00F16286">
      <w:pPr>
        <w:pStyle w:val="Ttulo3"/>
        <w:rPr>
          <w:rFonts w:cs="Arial"/>
          <w:sz w:val="22"/>
          <w:szCs w:val="22"/>
        </w:rPr>
      </w:pPr>
      <w:r w:rsidRPr="00F16286">
        <w:rPr>
          <w:rFonts w:cs="Arial"/>
          <w:sz w:val="22"/>
          <w:szCs w:val="22"/>
        </w:rPr>
        <w:t>ABNT NBR 8196:1999 - Desenho técnico - Emprego de escalas;</w:t>
      </w:r>
    </w:p>
    <w:p w14:paraId="1CC986D2" w14:textId="77777777" w:rsidR="00CB2BCC" w:rsidRPr="00F16286" w:rsidRDefault="00CB2BCC" w:rsidP="00F16286">
      <w:pPr>
        <w:pStyle w:val="Ttulo3"/>
        <w:rPr>
          <w:rFonts w:cs="Arial"/>
          <w:sz w:val="22"/>
          <w:szCs w:val="22"/>
        </w:rPr>
      </w:pPr>
      <w:r w:rsidRPr="00F16286">
        <w:rPr>
          <w:rFonts w:cs="Arial"/>
          <w:sz w:val="22"/>
          <w:szCs w:val="22"/>
        </w:rPr>
        <w:t>NR 18 - Condições e meio ambiente de trabalho na indústria da construção.</w:t>
      </w:r>
    </w:p>
    <w:p w14:paraId="1CC986D3" w14:textId="77777777" w:rsidR="00CB2BCC" w:rsidRPr="00F16286" w:rsidRDefault="00CB2BCC" w:rsidP="00F16286">
      <w:pPr>
        <w:pStyle w:val="Ttulo2"/>
        <w:rPr>
          <w:rFonts w:cs="Arial"/>
          <w:sz w:val="22"/>
          <w:szCs w:val="22"/>
        </w:rPr>
      </w:pPr>
      <w:r w:rsidRPr="00F16286">
        <w:rPr>
          <w:rFonts w:cs="Arial"/>
          <w:sz w:val="22"/>
          <w:szCs w:val="22"/>
        </w:rPr>
        <w:t>EQUIPAMENTOS</w:t>
      </w:r>
    </w:p>
    <w:p w14:paraId="1CC986D4"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Teodolitos;</w:t>
      </w:r>
    </w:p>
    <w:p w14:paraId="1CC986D5"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Níveis;</w:t>
      </w:r>
    </w:p>
    <w:p w14:paraId="1CC986D6"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Medidores eletrônicos de distâncias (MED);</w:t>
      </w:r>
    </w:p>
    <w:p w14:paraId="1CC986D7"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Balizas;</w:t>
      </w:r>
    </w:p>
    <w:p w14:paraId="1CC986D8"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Prumos esféricos;</w:t>
      </w:r>
    </w:p>
    <w:p w14:paraId="1CC986D9"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Trenas;</w:t>
      </w:r>
    </w:p>
    <w:p w14:paraId="1CC986DA"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Miras;</w:t>
      </w:r>
    </w:p>
    <w:p w14:paraId="1CC986DB"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Prismas;</w:t>
      </w:r>
    </w:p>
    <w:p w14:paraId="1CC986DC"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Termômetro;</w:t>
      </w:r>
    </w:p>
    <w:p w14:paraId="1CC986DD"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Barômetro;</w:t>
      </w:r>
    </w:p>
    <w:p w14:paraId="1CC986DE"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Psicômetro;</w:t>
      </w:r>
    </w:p>
    <w:p w14:paraId="1CC986DF"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Dinamômetro.</w:t>
      </w:r>
    </w:p>
    <w:p w14:paraId="1CC986E0" w14:textId="77777777" w:rsidR="00CB2BCC" w:rsidRPr="00F16286" w:rsidRDefault="00CB2BCC" w:rsidP="00F16286">
      <w:pPr>
        <w:pStyle w:val="Ttulo2"/>
        <w:rPr>
          <w:rFonts w:cs="Arial"/>
          <w:sz w:val="22"/>
          <w:szCs w:val="22"/>
        </w:rPr>
      </w:pPr>
      <w:r w:rsidRPr="00F16286">
        <w:rPr>
          <w:rFonts w:cs="Arial"/>
          <w:sz w:val="22"/>
          <w:szCs w:val="22"/>
        </w:rPr>
        <w:t>PROCEDIMENTOS GERAIS</w:t>
      </w:r>
    </w:p>
    <w:p w14:paraId="1CC986E1" w14:textId="77777777" w:rsidR="00CB2BCC" w:rsidRPr="00F16286" w:rsidRDefault="00CB2BCC" w:rsidP="00F16286">
      <w:pPr>
        <w:pStyle w:val="Ttulo3"/>
        <w:rPr>
          <w:rFonts w:cs="Arial"/>
          <w:sz w:val="22"/>
          <w:szCs w:val="22"/>
        </w:rPr>
      </w:pPr>
      <w:r w:rsidRPr="00F16286">
        <w:rPr>
          <w:rFonts w:cs="Arial"/>
          <w:sz w:val="22"/>
          <w:szCs w:val="22"/>
        </w:rPr>
        <w:t>Inicialmente serão definidos, além da área exata a ser levantada, o sistema de coordenadas e a referência de nível a serem adotados, bem como a escala do desenho.</w:t>
      </w:r>
    </w:p>
    <w:p w14:paraId="1CC986E2" w14:textId="77777777" w:rsidR="00CB2BCC" w:rsidRPr="00F16286" w:rsidRDefault="00CB2BCC" w:rsidP="00F16286">
      <w:pPr>
        <w:pStyle w:val="Ttulo3"/>
        <w:rPr>
          <w:rFonts w:cs="Arial"/>
          <w:sz w:val="22"/>
          <w:szCs w:val="22"/>
        </w:rPr>
      </w:pPr>
      <w:r w:rsidRPr="00F16286">
        <w:rPr>
          <w:rFonts w:cs="Arial"/>
          <w:sz w:val="22"/>
          <w:szCs w:val="22"/>
        </w:rPr>
        <w:t>Deve-se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topográficos existentes e disponíveis.</w:t>
      </w:r>
    </w:p>
    <w:p w14:paraId="1CC986E3" w14:textId="77777777" w:rsidR="00CB2BCC" w:rsidRPr="00F16286" w:rsidRDefault="00CB2BCC" w:rsidP="00F16286">
      <w:pPr>
        <w:pStyle w:val="Ttulo3"/>
        <w:rPr>
          <w:rFonts w:cs="Arial"/>
          <w:sz w:val="22"/>
          <w:szCs w:val="22"/>
        </w:rPr>
      </w:pPr>
      <w:r w:rsidRPr="00F16286">
        <w:rPr>
          <w:rFonts w:cs="Arial"/>
          <w:sz w:val="22"/>
          <w:szCs w:val="22"/>
        </w:rPr>
        <w:t>A execução dos serviços deve ser feita em duas fases: trabalhos de campo, compreendendo os levantamentos ou locações, e trabalhos de escritório, compreendendo os cálculos e desenhos.</w:t>
      </w:r>
    </w:p>
    <w:p w14:paraId="1CC986E4" w14:textId="77777777" w:rsidR="00CB2BCC" w:rsidRPr="00F16286" w:rsidRDefault="00CB2BCC" w:rsidP="00F16286">
      <w:pPr>
        <w:pStyle w:val="Ttulo3"/>
        <w:rPr>
          <w:rFonts w:cs="Arial"/>
          <w:sz w:val="22"/>
          <w:szCs w:val="22"/>
        </w:rPr>
      </w:pPr>
      <w:r w:rsidRPr="00F16286">
        <w:rPr>
          <w:rFonts w:cs="Arial"/>
          <w:sz w:val="22"/>
          <w:szCs w:val="22"/>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CC986E5" w14:textId="77777777" w:rsidR="00CB2BCC" w:rsidRPr="00F16286" w:rsidRDefault="00CB2BCC" w:rsidP="00F16286">
      <w:pPr>
        <w:pStyle w:val="Ttulo3"/>
        <w:rPr>
          <w:rFonts w:cs="Arial"/>
          <w:sz w:val="22"/>
          <w:szCs w:val="22"/>
        </w:rPr>
      </w:pPr>
      <w:r w:rsidRPr="00F16286">
        <w:rPr>
          <w:rFonts w:cs="Arial"/>
          <w:sz w:val="22"/>
          <w:szCs w:val="22"/>
        </w:rPr>
        <w:t>Devem ser levantados, obtendo as coordenadas, cotas e demais características geométricas, os seguintes dispositivos presentes na área e nas circunvizinhanças:</w:t>
      </w:r>
    </w:p>
    <w:p w14:paraId="1CC986E6" w14:textId="77777777" w:rsidR="00CB2BCC" w:rsidRPr="00F16286" w:rsidRDefault="00CB2BCC" w:rsidP="00F16286">
      <w:pPr>
        <w:pStyle w:val="Ttulo3"/>
        <w:rPr>
          <w:rFonts w:cs="Arial"/>
          <w:sz w:val="22"/>
          <w:szCs w:val="22"/>
        </w:rPr>
      </w:pPr>
      <w:r w:rsidRPr="00F16286">
        <w:rPr>
          <w:rFonts w:cs="Arial"/>
          <w:sz w:val="22"/>
          <w:szCs w:val="22"/>
        </w:rPr>
        <w:t>Poços de visita de redes telefônicas e energia elétrica;</w:t>
      </w:r>
    </w:p>
    <w:p w14:paraId="1CC986E7" w14:textId="77777777" w:rsidR="00CB2BCC" w:rsidRPr="00F16286" w:rsidRDefault="00CB2BCC" w:rsidP="00F16286">
      <w:pPr>
        <w:pStyle w:val="Ttulo3"/>
        <w:rPr>
          <w:rFonts w:cs="Arial"/>
          <w:sz w:val="22"/>
          <w:szCs w:val="22"/>
        </w:rPr>
      </w:pPr>
      <w:r w:rsidRPr="00F16286">
        <w:rPr>
          <w:rFonts w:cs="Arial"/>
          <w:sz w:val="22"/>
          <w:szCs w:val="22"/>
        </w:rPr>
        <w:t>Poços de visita de redes de esgoto e galerias de águas pluviais;</w:t>
      </w:r>
    </w:p>
    <w:p w14:paraId="1CC986E8" w14:textId="77777777" w:rsidR="00CB2BCC" w:rsidRPr="00F16286" w:rsidRDefault="00CB2BCC" w:rsidP="00F16286">
      <w:pPr>
        <w:pStyle w:val="Ttulo3"/>
        <w:rPr>
          <w:rFonts w:cs="Arial"/>
          <w:sz w:val="22"/>
          <w:szCs w:val="22"/>
        </w:rPr>
      </w:pPr>
      <w:r w:rsidRPr="00F16286">
        <w:rPr>
          <w:rFonts w:cs="Arial"/>
          <w:sz w:val="22"/>
          <w:szCs w:val="22"/>
        </w:rPr>
        <w:t>Bocas de lobo, bocas de leão, sarjetões e outros componentes da drenagem superficial existente;</w:t>
      </w:r>
    </w:p>
    <w:p w14:paraId="1CC986E9" w14:textId="77777777" w:rsidR="00CB2BCC" w:rsidRPr="00F16286" w:rsidRDefault="00CB2BCC" w:rsidP="00F16286">
      <w:pPr>
        <w:pStyle w:val="Ttulo3"/>
        <w:rPr>
          <w:rFonts w:cs="Arial"/>
          <w:sz w:val="22"/>
          <w:szCs w:val="22"/>
        </w:rPr>
      </w:pPr>
      <w:r w:rsidRPr="00F16286">
        <w:rPr>
          <w:rFonts w:cs="Arial"/>
          <w:sz w:val="22"/>
          <w:szCs w:val="22"/>
        </w:rPr>
        <w:t>Posteamento da rede elétrica;</w:t>
      </w:r>
    </w:p>
    <w:p w14:paraId="1CC986EA" w14:textId="77777777" w:rsidR="00CB2BCC" w:rsidRPr="00F16286" w:rsidRDefault="00CB2BCC" w:rsidP="00F16286">
      <w:pPr>
        <w:pStyle w:val="Ttulo3"/>
        <w:rPr>
          <w:rFonts w:cs="Arial"/>
          <w:sz w:val="22"/>
          <w:szCs w:val="22"/>
        </w:rPr>
      </w:pPr>
      <w:r w:rsidRPr="00F16286">
        <w:rPr>
          <w:rFonts w:cs="Arial"/>
          <w:sz w:val="22"/>
          <w:szCs w:val="22"/>
        </w:rPr>
        <w:t>Demais elementos componentes da rede de utilidades e serviços que possam interessar ao projeto.</w:t>
      </w:r>
    </w:p>
    <w:p w14:paraId="1CC986EB" w14:textId="77777777" w:rsidR="00CB2BCC" w:rsidRPr="00F16286" w:rsidRDefault="00CB2BCC" w:rsidP="00F16286">
      <w:pPr>
        <w:pStyle w:val="Ttulo3"/>
        <w:rPr>
          <w:rFonts w:cs="Arial"/>
          <w:sz w:val="22"/>
          <w:szCs w:val="22"/>
        </w:rPr>
      </w:pPr>
      <w:r w:rsidRPr="00F16286">
        <w:rPr>
          <w:rFonts w:cs="Arial"/>
          <w:sz w:val="22"/>
          <w:szCs w:val="22"/>
        </w:rPr>
        <w:t xml:space="preserve">O </w:t>
      </w:r>
      <w:proofErr w:type="gramStart"/>
      <w:r w:rsidRPr="00F16286">
        <w:rPr>
          <w:rFonts w:cs="Arial"/>
          <w:sz w:val="22"/>
          <w:szCs w:val="22"/>
        </w:rPr>
        <w:t>produto final</w:t>
      </w:r>
      <w:proofErr w:type="gramEnd"/>
      <w:r w:rsidRPr="00F16286">
        <w:rPr>
          <w:rFonts w:cs="Arial"/>
          <w:sz w:val="22"/>
          <w:szCs w:val="22"/>
        </w:rPr>
        <w:t xml:space="preserve"> destes cadastros, além de constar da planta topográfica, deve ser documentado em fichas cadastrais apropriadas.</w:t>
      </w:r>
    </w:p>
    <w:p w14:paraId="1CC986EC" w14:textId="77777777" w:rsidR="00CB2BCC" w:rsidRPr="00F16286" w:rsidRDefault="00CB2BCC" w:rsidP="00F16286">
      <w:pPr>
        <w:pStyle w:val="Ttulo3"/>
        <w:rPr>
          <w:rFonts w:cs="Arial"/>
          <w:sz w:val="22"/>
          <w:szCs w:val="22"/>
        </w:rPr>
      </w:pPr>
      <w:r w:rsidRPr="00F16286">
        <w:rPr>
          <w:rFonts w:cs="Arial"/>
          <w:sz w:val="22"/>
          <w:szCs w:val="22"/>
        </w:rPr>
        <w:t>Deverão ser levantados, também, pontos do terreno que possibilitem sua exata representação na escala escolhida para a planta. O número de pontos levantados por hectare será função da escala do desenho e das características da área, conforme a Tabela 1.</w:t>
      </w:r>
    </w:p>
    <w:p w14:paraId="1CC986ED" w14:textId="77777777" w:rsidR="00CB2BCC" w:rsidRPr="00F16286" w:rsidRDefault="00CB2BCC" w:rsidP="00F16286">
      <w:pPr>
        <w:pStyle w:val="Ttulo3"/>
        <w:rPr>
          <w:rFonts w:cs="Arial"/>
          <w:sz w:val="22"/>
          <w:szCs w:val="22"/>
        </w:rPr>
      </w:pPr>
      <w:r w:rsidRPr="00F16286">
        <w:rPr>
          <w:rFonts w:cs="Arial"/>
          <w:sz w:val="22"/>
          <w:szCs w:val="22"/>
        </w:rPr>
        <w:t>O levantamento topográfico, em qualquer de suas finalidades, deve ter, no mínimo, as seguintes fases:</w:t>
      </w:r>
    </w:p>
    <w:p w14:paraId="1CC986EE"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Planejamento, seleção de métodos e aparelhagem;</w:t>
      </w:r>
    </w:p>
    <w:p w14:paraId="1CC986EF"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Apoio topográfico;</w:t>
      </w:r>
    </w:p>
    <w:p w14:paraId="1CC986F0"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Levantamento de detalhes;</w:t>
      </w:r>
    </w:p>
    <w:p w14:paraId="1CC986F1"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Cálculos e ajustes;</w:t>
      </w:r>
    </w:p>
    <w:p w14:paraId="1CC986F2"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Original topográfico;</w:t>
      </w:r>
    </w:p>
    <w:p w14:paraId="1CC986F3"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Desenho topográfico final;</w:t>
      </w:r>
    </w:p>
    <w:p w14:paraId="1CC986F4"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Relatório técnico.</w:t>
      </w:r>
    </w:p>
    <w:p w14:paraId="1CC986F5" w14:textId="77777777" w:rsidR="00CB2BCC" w:rsidRPr="00F16286" w:rsidRDefault="00CB2BCC" w:rsidP="00F16286">
      <w:pPr>
        <w:pStyle w:val="Ttulo3"/>
        <w:rPr>
          <w:rFonts w:cs="Arial"/>
          <w:sz w:val="22"/>
          <w:szCs w:val="22"/>
        </w:rPr>
      </w:pPr>
      <w:r w:rsidRPr="00F16286">
        <w:rPr>
          <w:rFonts w:cs="Arial"/>
          <w:sz w:val="22"/>
          <w:szCs w:val="22"/>
        </w:rPr>
        <w:t xml:space="preserve">Na hipótese </w:t>
      </w:r>
      <w:proofErr w:type="gramStart"/>
      <w:r w:rsidRPr="00F16286">
        <w:rPr>
          <w:rFonts w:cs="Arial"/>
          <w:sz w:val="22"/>
          <w:szCs w:val="22"/>
        </w:rPr>
        <w:t>do</w:t>
      </w:r>
      <w:proofErr w:type="gramEnd"/>
      <w:r w:rsidRPr="00F16286">
        <w:rPr>
          <w:rFonts w:cs="Arial"/>
          <w:sz w:val="22"/>
          <w:szCs w:val="22"/>
        </w:rPr>
        <w:t xml:space="preserve"> apoio topográfico planimétrico vincular-se à rede geodésica (SGB), a situação ideal é que, pelo menos, dois pontos de coordenadas conhecidas sejam comuns. As coordenadas planorretangulares destes vértices geodésicos, no sistema de representação cartográfica UTM, permitem a determinação do comprimento e do azimute plano definido por estes vértices seguindo-se, no plano topográfico, o cálculo do apoio topográfico.</w:t>
      </w:r>
    </w:p>
    <w:p w14:paraId="1CC986F6" w14:textId="77777777" w:rsidR="00CB2BCC" w:rsidRPr="00F16286" w:rsidRDefault="00CB2BCC" w:rsidP="00F16286">
      <w:pPr>
        <w:pStyle w:val="Ttulo3"/>
        <w:rPr>
          <w:rFonts w:cs="Arial"/>
          <w:sz w:val="22"/>
          <w:szCs w:val="22"/>
        </w:rPr>
      </w:pPr>
      <w:r w:rsidRPr="00F16286">
        <w:rPr>
          <w:rFonts w:cs="Arial"/>
          <w:sz w:val="22"/>
          <w:szCs w:val="22"/>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CC986F7" w14:textId="77777777" w:rsidR="00CB2BCC" w:rsidRPr="00F16286" w:rsidRDefault="00CB2BCC" w:rsidP="00F16286">
      <w:pPr>
        <w:pStyle w:val="Ttulo3"/>
        <w:rPr>
          <w:rFonts w:cs="Arial"/>
          <w:sz w:val="22"/>
          <w:szCs w:val="22"/>
        </w:rPr>
      </w:pPr>
      <w:r w:rsidRPr="00F16286">
        <w:rPr>
          <w:rFonts w:cs="Arial"/>
          <w:sz w:val="22"/>
          <w:szCs w:val="22"/>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CC986F8" w14:textId="77777777" w:rsidR="00CB2BCC" w:rsidRPr="00F16286" w:rsidRDefault="00CB2BCC" w:rsidP="00F16286">
      <w:pPr>
        <w:pStyle w:val="Ttulo3"/>
        <w:rPr>
          <w:rFonts w:cs="Arial"/>
          <w:sz w:val="22"/>
          <w:szCs w:val="22"/>
        </w:rPr>
      </w:pPr>
      <w:r w:rsidRPr="00F16286">
        <w:rPr>
          <w:rFonts w:cs="Arial"/>
          <w:sz w:val="22"/>
          <w:szCs w:val="22"/>
        </w:rPr>
        <w:t>Os pontos planimétricos e as referências de nível do apoio básico topográfico devem ser implantados em locais seguros, monumentados por marcos de concreto, de preferência na forma troncopiramidal, enterrados, com o topo ao nível do solo, contendo encravada nestes uma placa de identificação e materialização dos pontos. Onde houver conveniência, estes marcos podem ser substituídos por pinos metálicos.</w:t>
      </w:r>
    </w:p>
    <w:p w14:paraId="1CC986F9" w14:textId="77777777" w:rsidR="00CB2BCC" w:rsidRPr="00F16286" w:rsidRDefault="00CB2BCC" w:rsidP="00F16286">
      <w:pPr>
        <w:pStyle w:val="Ttulo3"/>
        <w:rPr>
          <w:rFonts w:cs="Arial"/>
          <w:sz w:val="22"/>
          <w:szCs w:val="22"/>
        </w:rPr>
      </w:pPr>
      <w:r w:rsidRPr="00F16286">
        <w:rPr>
          <w:rFonts w:cs="Arial"/>
          <w:sz w:val="22"/>
          <w:szCs w:val="22"/>
        </w:rPr>
        <w:t>As medições angulares horizontais devem ser efetuadas pelo método das direções em séries de leituras conjugadas.</w:t>
      </w:r>
    </w:p>
    <w:p w14:paraId="1CC986FA" w14:textId="77777777" w:rsidR="00CB2BCC" w:rsidRPr="00F16286" w:rsidRDefault="00CB2BCC" w:rsidP="00F16286">
      <w:pPr>
        <w:pStyle w:val="Ttulo3"/>
        <w:rPr>
          <w:rFonts w:cs="Arial"/>
          <w:sz w:val="22"/>
          <w:szCs w:val="22"/>
        </w:rPr>
      </w:pPr>
      <w:r w:rsidRPr="00F16286">
        <w:rPr>
          <w:rFonts w:cs="Arial"/>
          <w:sz w:val="22"/>
          <w:szCs w:val="22"/>
        </w:rPr>
        <w:t>As medições angulares verticais devem ser realizadas em séries de leituras conjugadas.</w:t>
      </w:r>
    </w:p>
    <w:p w14:paraId="1CC986FB" w14:textId="77777777" w:rsidR="00CB2BCC" w:rsidRPr="00F16286" w:rsidRDefault="00CB2BCC" w:rsidP="00F16286">
      <w:pPr>
        <w:pStyle w:val="Ttulo3"/>
        <w:rPr>
          <w:rFonts w:cs="Arial"/>
          <w:sz w:val="22"/>
          <w:szCs w:val="22"/>
        </w:rPr>
      </w:pPr>
      <w:r w:rsidRPr="00F16286">
        <w:rPr>
          <w:rFonts w:cs="Arial"/>
          <w:sz w:val="22"/>
          <w:szCs w:val="22"/>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CC986FC" w14:textId="77777777" w:rsidR="00CB2BCC" w:rsidRPr="00F16286" w:rsidRDefault="00CB2BCC" w:rsidP="00F16286">
      <w:pPr>
        <w:pStyle w:val="Ttulo3"/>
        <w:rPr>
          <w:rFonts w:cs="Arial"/>
          <w:sz w:val="22"/>
          <w:szCs w:val="22"/>
        </w:rPr>
      </w:pPr>
      <w:r w:rsidRPr="00F16286">
        <w:rPr>
          <w:rFonts w:cs="Arial"/>
          <w:sz w:val="22"/>
          <w:szCs w:val="22"/>
        </w:rPr>
        <w:t>Todas as medições de campo devem ser registradas em cadernetas adequadas ao tipo de operação e anotadas de forma permanente.</w:t>
      </w:r>
    </w:p>
    <w:p w14:paraId="1CC986FD" w14:textId="77777777" w:rsidR="00CB2BCC" w:rsidRPr="00F16286" w:rsidRDefault="00CB2BCC" w:rsidP="00F16286">
      <w:pPr>
        <w:pStyle w:val="Ttulo3"/>
        <w:rPr>
          <w:rFonts w:cs="Arial"/>
          <w:sz w:val="22"/>
          <w:szCs w:val="22"/>
        </w:rPr>
      </w:pPr>
      <w:r w:rsidRPr="00F16286">
        <w:rPr>
          <w:rFonts w:cs="Arial"/>
          <w:sz w:val="22"/>
          <w:szCs w:val="22"/>
        </w:rPr>
        <w:t>Os cálculos planimétricos devem ser desenvolvidos segundo roteiro convencional indicado para o transporte de coordenadas no sistema topográfico adotado, a partir dos dados de campo transcritos em formulário próprio. Quando, porém, executados em calculadoras eletrônicas programáveis, com saída em impressora ou em computador, as saídas impressas devem registrar os dados de entrada, resultados e outros elementos característicos.</w:t>
      </w:r>
    </w:p>
    <w:p w14:paraId="1CC986FE" w14:textId="77777777" w:rsidR="00CB2BCC" w:rsidRPr="00F16286" w:rsidRDefault="00CB2BCC" w:rsidP="00F16286">
      <w:pPr>
        <w:pStyle w:val="Ttulo3"/>
        <w:rPr>
          <w:rFonts w:cs="Arial"/>
          <w:sz w:val="22"/>
          <w:szCs w:val="22"/>
        </w:rPr>
      </w:pPr>
      <w:r w:rsidRPr="00F16286">
        <w:rPr>
          <w:rFonts w:cs="Arial"/>
          <w:sz w:val="22"/>
          <w:szCs w:val="22"/>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CC986FF" w14:textId="77777777" w:rsidR="00CB2BCC" w:rsidRPr="00F16286" w:rsidRDefault="00CB2BCC" w:rsidP="00F16286">
      <w:pPr>
        <w:pStyle w:val="Ttulo2"/>
        <w:rPr>
          <w:rFonts w:cs="Arial"/>
          <w:sz w:val="22"/>
          <w:szCs w:val="22"/>
        </w:rPr>
      </w:pPr>
      <w:r>
        <w:rPr>
          <w:rFonts w:cs="Arial"/>
          <w:sz w:val="22"/>
          <w:szCs w:val="22"/>
        </w:rPr>
        <w:t>Os relatórios deverão conter no mínimo:</w:t>
      </w:r>
    </w:p>
    <w:p w14:paraId="1CC98700"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Objeto;</w:t>
      </w:r>
    </w:p>
    <w:p w14:paraId="1CC98701"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Finalidade;</w:t>
      </w:r>
    </w:p>
    <w:p w14:paraId="1CC98702"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Período de execução;</w:t>
      </w:r>
    </w:p>
    <w:p w14:paraId="1CC98703"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Localização;</w:t>
      </w:r>
    </w:p>
    <w:p w14:paraId="1CC98704"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Origem (datum);</w:t>
      </w:r>
    </w:p>
    <w:p w14:paraId="1CC98705"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Descrição do levantamento ou do serviço executado;</w:t>
      </w:r>
    </w:p>
    <w:p w14:paraId="1CC98706"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Precisões obtidas;</w:t>
      </w:r>
    </w:p>
    <w:p w14:paraId="1CC98707"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Quantidades realizadas;</w:t>
      </w:r>
    </w:p>
    <w:p w14:paraId="1CC98708"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Relação da aparelhagem utilizada;</w:t>
      </w:r>
    </w:p>
    <w:p w14:paraId="1CC98709"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Equipe técnica e identificação do responsável técnico;</w:t>
      </w:r>
    </w:p>
    <w:p w14:paraId="1CC9870A"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Documentos produzidos;</w:t>
      </w:r>
    </w:p>
    <w:p w14:paraId="1CC9870B" w14:textId="77777777" w:rsidR="00CB2BCC" w:rsidRPr="00F16286" w:rsidRDefault="00CB2BCC" w:rsidP="00122D60">
      <w:pPr>
        <w:pStyle w:val="Ttulo4"/>
        <w:numPr>
          <w:ilvl w:val="0"/>
          <w:numId w:val="6"/>
        </w:numPr>
        <w:rPr>
          <w:rFonts w:cs="Arial"/>
          <w:sz w:val="22"/>
          <w:szCs w:val="22"/>
        </w:rPr>
      </w:pPr>
      <w:r w:rsidRPr="00F16286">
        <w:rPr>
          <w:rFonts w:cs="Arial"/>
          <w:sz w:val="22"/>
          <w:szCs w:val="22"/>
        </w:rPr>
        <w:t>Memórias de cálculo, destacando-se:</w:t>
      </w:r>
    </w:p>
    <w:p w14:paraId="1CC9870C" w14:textId="77777777" w:rsidR="00CB2BCC" w:rsidRPr="00F16286" w:rsidRDefault="00CB2BCC" w:rsidP="00122D60">
      <w:pPr>
        <w:pStyle w:val="Ttulo4"/>
        <w:numPr>
          <w:ilvl w:val="1"/>
          <w:numId w:val="6"/>
        </w:numPr>
        <w:rPr>
          <w:rFonts w:cs="Arial"/>
          <w:sz w:val="22"/>
          <w:szCs w:val="22"/>
        </w:rPr>
      </w:pPr>
      <w:r w:rsidRPr="00F16286">
        <w:rPr>
          <w:rFonts w:cs="Arial"/>
          <w:sz w:val="22"/>
          <w:szCs w:val="22"/>
        </w:rPr>
        <w:t>Planilhas de cálculo das poligonais;</w:t>
      </w:r>
    </w:p>
    <w:p w14:paraId="1CC9870D" w14:textId="77777777" w:rsidR="00CB2BCC" w:rsidRPr="00F16286" w:rsidRDefault="00CB2BCC" w:rsidP="00122D60">
      <w:pPr>
        <w:pStyle w:val="Ttulo4"/>
        <w:numPr>
          <w:ilvl w:val="1"/>
          <w:numId w:val="6"/>
        </w:numPr>
        <w:rPr>
          <w:rFonts w:cs="Arial"/>
          <w:sz w:val="22"/>
          <w:szCs w:val="22"/>
        </w:rPr>
      </w:pPr>
      <w:r w:rsidRPr="00F16286">
        <w:rPr>
          <w:rFonts w:cs="Arial"/>
          <w:sz w:val="22"/>
          <w:szCs w:val="22"/>
        </w:rPr>
        <w:t>Planilhas das linhas de nivelamento.</w:t>
      </w:r>
    </w:p>
    <w:p w14:paraId="1CC9870E" w14:textId="77777777" w:rsidR="00CB2BCC" w:rsidRDefault="00CB2BCC" w:rsidP="00F16286">
      <w:pPr>
        <w:pStyle w:val="nivel2"/>
        <w:numPr>
          <w:ilvl w:val="0"/>
          <w:numId w:val="0"/>
        </w:numPr>
        <w:ind w:left="1134"/>
      </w:pPr>
    </w:p>
    <w:p w14:paraId="1CC9870F" w14:textId="77777777" w:rsidR="00CB2BCC" w:rsidRDefault="00CB2BCC" w:rsidP="00F16286">
      <w:pPr>
        <w:pStyle w:val="Estilonivel111ptNegritoesquerdaAntes6ptDepoisde"/>
      </w:pPr>
      <w:bookmarkStart w:id="24" w:name="_Toc424033888"/>
      <w:bookmarkStart w:id="25" w:name="_Toc476825333"/>
      <w:r>
        <w:t>SONDAGEM SPT (SPT)</w:t>
      </w:r>
      <w:bookmarkEnd w:id="24"/>
      <w:bookmarkEnd w:id="25"/>
    </w:p>
    <w:p w14:paraId="1CC98710" w14:textId="77777777" w:rsidR="00CB2BCC" w:rsidRPr="00F16286" w:rsidRDefault="00CB2BCC" w:rsidP="00F16286">
      <w:pPr>
        <w:pStyle w:val="Ttulo2"/>
        <w:rPr>
          <w:rFonts w:cs="Arial"/>
          <w:sz w:val="22"/>
          <w:szCs w:val="22"/>
        </w:rPr>
      </w:pPr>
      <w:r w:rsidRPr="00F16286">
        <w:rPr>
          <w:rFonts w:cs="Arial"/>
          <w:sz w:val="22"/>
          <w:szCs w:val="22"/>
        </w:rPr>
        <w:t>A sondagem à percussão, ou, sondagem para “simples reconhecimento” ou ainda, “Sondagem SPT” (Standard Penetration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CC98711" w14:textId="77777777" w:rsidR="00CB2BCC" w:rsidRDefault="00CB2BCC" w:rsidP="00F16286">
      <w:pPr>
        <w:pStyle w:val="Ttulo2"/>
        <w:rPr>
          <w:rFonts w:cs="Arial"/>
          <w:sz w:val="22"/>
          <w:szCs w:val="22"/>
        </w:rPr>
      </w:pPr>
      <w:r w:rsidRPr="00F16286">
        <w:rPr>
          <w:rFonts w:cs="Arial"/>
          <w:sz w:val="22"/>
          <w:szCs w:val="22"/>
        </w:rPr>
        <w:t xml:space="preserve">Deve ser realizado pela cravação vertical de um </w:t>
      </w:r>
      <w:hyperlink r:id="rId8" w:tooltip="Cilindro" w:history="1">
        <w:r w:rsidRPr="00F16286">
          <w:rPr>
            <w:rFonts w:cs="Arial"/>
            <w:sz w:val="22"/>
            <w:szCs w:val="22"/>
          </w:rPr>
          <w:t>cilindro</w:t>
        </w:r>
      </w:hyperlink>
      <w:r w:rsidRPr="00F16286">
        <w:rPr>
          <w:rFonts w:cs="Arial"/>
          <w:sz w:val="22"/>
          <w:szCs w:val="22"/>
        </w:rPr>
        <w:t> </w:t>
      </w:r>
      <w:hyperlink r:id="rId9" w:tooltip="Amostragem" w:history="1">
        <w:r w:rsidRPr="00F16286">
          <w:rPr>
            <w:rFonts w:cs="Arial"/>
            <w:sz w:val="22"/>
            <w:szCs w:val="22"/>
          </w:rPr>
          <w:t>amostrador</w:t>
        </w:r>
      </w:hyperlink>
      <w:r w:rsidRPr="00F16286">
        <w:rPr>
          <w:rFonts w:cs="Arial"/>
          <w:sz w:val="22"/>
          <w:szCs w:val="22"/>
        </w:rPr>
        <w:t> </w:t>
      </w:r>
      <w:hyperlink r:id="rId10" w:tooltip="Padrão" w:history="1">
        <w:r w:rsidRPr="00F16286">
          <w:rPr>
            <w:rFonts w:cs="Arial"/>
            <w:sz w:val="22"/>
            <w:szCs w:val="22"/>
          </w:rPr>
          <w:t>padrão</w:t>
        </w:r>
      </w:hyperlink>
      <w:r w:rsidRPr="00F16286">
        <w:rPr>
          <w:rFonts w:cs="Arial"/>
          <w:sz w:val="22"/>
          <w:szCs w:val="22"/>
        </w:rPr>
        <w:t> - </w:t>
      </w:r>
      <w:hyperlink r:id="rId11" w:tooltip="Barrilete" w:history="1">
        <w:r w:rsidRPr="00F16286">
          <w:rPr>
            <w:rFonts w:cs="Arial"/>
            <w:sz w:val="22"/>
            <w:szCs w:val="22"/>
          </w:rPr>
          <w:t>Barrilete</w:t>
        </w:r>
      </w:hyperlink>
      <w:r w:rsidRPr="00F16286">
        <w:rPr>
          <w:rFonts w:cs="Arial"/>
          <w:sz w:val="22"/>
          <w:szCs w:val="22"/>
        </w:rPr>
        <w:t>, através de golpes de um </w:t>
      </w:r>
      <w:hyperlink r:id="rId12" w:tooltip="Martelo" w:history="1">
        <w:r w:rsidRPr="00F16286">
          <w:rPr>
            <w:rFonts w:cs="Arial"/>
            <w:sz w:val="22"/>
            <w:szCs w:val="22"/>
          </w:rPr>
          <w:t>martelo</w:t>
        </w:r>
      </w:hyperlink>
      <w:r w:rsidRPr="00F16286">
        <w:rPr>
          <w:rFonts w:cs="Arial"/>
          <w:sz w:val="22"/>
          <w:szCs w:val="22"/>
        </w:rPr>
        <w:t> com </w:t>
      </w:r>
      <w:hyperlink r:id="rId13" w:tooltip="Massa" w:history="1">
        <w:r w:rsidRPr="00F16286">
          <w:rPr>
            <w:rFonts w:cs="Arial"/>
            <w:sz w:val="22"/>
            <w:szCs w:val="22"/>
          </w:rPr>
          <w:t>massa</w:t>
        </w:r>
      </w:hyperlink>
      <w:r w:rsidRPr="00F16286">
        <w:rPr>
          <w:rFonts w:cs="Arial"/>
          <w:sz w:val="22"/>
          <w:szCs w:val="22"/>
        </w:rPr>
        <w:t> padronizada de 65 </w:t>
      </w:r>
      <w:hyperlink r:id="rId14" w:tooltip="Kg" w:history="1">
        <w:r w:rsidRPr="00F16286">
          <w:rPr>
            <w:rFonts w:cs="Arial"/>
            <w:sz w:val="22"/>
            <w:szCs w:val="22"/>
          </w:rPr>
          <w:t>kg</w:t>
        </w:r>
      </w:hyperlink>
      <w:r w:rsidRPr="00F16286">
        <w:rPr>
          <w:rFonts w:cs="Arial"/>
          <w:sz w:val="22"/>
          <w:szCs w:val="22"/>
        </w:rPr>
        <w:t xml:space="preserve">, solto em </w:t>
      </w:r>
      <w:hyperlink r:id="rId15" w:tooltip="Queda livre" w:history="1">
        <w:r w:rsidRPr="00F16286">
          <w:rPr>
            <w:rFonts w:cs="Arial"/>
            <w:sz w:val="22"/>
            <w:szCs w:val="22"/>
          </w:rPr>
          <w:t>queda livre</w:t>
        </w:r>
      </w:hyperlink>
      <w:r w:rsidRPr="00F16286">
        <w:rPr>
          <w:rFonts w:cs="Arial"/>
          <w:sz w:val="22"/>
          <w:szCs w:val="22"/>
        </w:rPr>
        <w:t> de uma </w:t>
      </w:r>
      <w:hyperlink r:id="rId16" w:tooltip="Altura" w:history="1">
        <w:r w:rsidRPr="00F16286">
          <w:rPr>
            <w:rFonts w:cs="Arial"/>
            <w:sz w:val="22"/>
            <w:szCs w:val="22"/>
          </w:rPr>
          <w:t>altura</w:t>
        </w:r>
      </w:hyperlink>
      <w:r w:rsidRPr="00F16286">
        <w:rPr>
          <w:rFonts w:cs="Arial"/>
          <w:sz w:val="22"/>
          <w:szCs w:val="22"/>
        </w:rPr>
        <w:t> de 75 </w:t>
      </w:r>
      <w:hyperlink r:id="rId17" w:tooltip="Cm" w:history="1">
        <w:r w:rsidRPr="00F16286">
          <w:rPr>
            <w:rFonts w:cs="Arial"/>
            <w:sz w:val="22"/>
            <w:szCs w:val="22"/>
          </w:rPr>
          <w:t>cm</w:t>
        </w:r>
      </w:hyperlink>
      <w:r w:rsidRPr="00F16286">
        <w:rPr>
          <w:rFonts w:cs="Arial"/>
          <w:sz w:val="22"/>
          <w:szCs w:val="22"/>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18" w:tooltip="Ensaio" w:history="1">
        <w:r w:rsidRPr="00F16286">
          <w:rPr>
            <w:rFonts w:cs="Arial"/>
            <w:sz w:val="22"/>
            <w:szCs w:val="22"/>
          </w:rPr>
          <w:t>ensaio</w:t>
        </w:r>
      </w:hyperlink>
      <w:r w:rsidRPr="00F16286">
        <w:rPr>
          <w:rFonts w:cs="Arial"/>
          <w:sz w:val="22"/>
          <w:szCs w:val="22"/>
        </w:rPr>
        <w:t xml:space="preserve">, o amostrador é retirado do furo e a </w:t>
      </w:r>
      <w:hyperlink r:id="rId19" w:tooltip="Amostra" w:history="1">
        <w:r w:rsidRPr="00F16286">
          <w:rPr>
            <w:rFonts w:cs="Arial"/>
            <w:sz w:val="22"/>
            <w:szCs w:val="22"/>
          </w:rPr>
          <w:t>amostra</w:t>
        </w:r>
      </w:hyperlink>
      <w:r w:rsidRPr="00F16286">
        <w:rPr>
          <w:rFonts w:cs="Arial"/>
          <w:sz w:val="22"/>
          <w:szCs w:val="22"/>
        </w:rPr>
        <w:t> é coletada, para posterior classificação que geralmente é feita pelo método </w:t>
      </w:r>
      <w:hyperlink r:id="rId20" w:tooltip="Classificação tátil-visual" w:history="1">
        <w:r w:rsidRPr="00F16286">
          <w:rPr>
            <w:rFonts w:cs="Arial"/>
            <w:sz w:val="22"/>
            <w:szCs w:val="22"/>
          </w:rPr>
          <w:t>Tátil-visual</w:t>
        </w:r>
      </w:hyperlink>
      <w:r w:rsidRPr="00F16286">
        <w:rPr>
          <w:rFonts w:cs="Arial"/>
          <w:sz w:val="22"/>
          <w:szCs w:val="22"/>
        </w:rPr>
        <w:t>.</w:t>
      </w:r>
    </w:p>
    <w:p w14:paraId="1CC98712" w14:textId="77777777" w:rsidR="00CB2BCC" w:rsidRPr="00CC0901" w:rsidRDefault="00CB2BCC" w:rsidP="00CC0901"/>
    <w:p w14:paraId="1CC98713" w14:textId="77777777" w:rsidR="00CB2BCC" w:rsidRDefault="00CB2BCC" w:rsidP="00F16286">
      <w:pPr>
        <w:pStyle w:val="Ttulo2"/>
        <w:rPr>
          <w:rFonts w:cs="Arial"/>
          <w:sz w:val="22"/>
          <w:szCs w:val="22"/>
        </w:rPr>
      </w:pPr>
      <w:r>
        <w:rPr>
          <w:rFonts w:cs="Arial"/>
          <w:sz w:val="22"/>
          <w:szCs w:val="22"/>
        </w:rPr>
        <w:t>REFERÊNCIA NORMATIVA</w:t>
      </w:r>
    </w:p>
    <w:p w14:paraId="1CC98714" w14:textId="77777777" w:rsidR="00CB2BCC" w:rsidRPr="00CC0901" w:rsidRDefault="00CB2BCC" w:rsidP="00CC0901"/>
    <w:p w14:paraId="1CC98715" w14:textId="77777777" w:rsidR="00CB2BCC" w:rsidRPr="00CC0901" w:rsidRDefault="00CB2BCC" w:rsidP="00CC0901">
      <w:pPr>
        <w:pStyle w:val="Ttulo3"/>
        <w:rPr>
          <w:rFonts w:cs="Arial"/>
          <w:sz w:val="22"/>
          <w:szCs w:val="22"/>
        </w:rPr>
      </w:pPr>
      <w:r w:rsidRPr="00CC0901">
        <w:rPr>
          <w:rFonts w:cs="Arial"/>
          <w:sz w:val="22"/>
          <w:szCs w:val="22"/>
        </w:rPr>
        <w:t>ABNT NBR 6484:2001 - Solo - Sondagens de simples reconhecimentos com SPT - Método de ensaio;</w:t>
      </w:r>
    </w:p>
    <w:p w14:paraId="1CC98716" w14:textId="77777777" w:rsidR="00CB2BCC" w:rsidRPr="00CC0901" w:rsidRDefault="00CB2BCC" w:rsidP="00CC0901">
      <w:pPr>
        <w:pStyle w:val="Ttulo3"/>
        <w:rPr>
          <w:rFonts w:cs="Arial"/>
          <w:sz w:val="22"/>
          <w:szCs w:val="22"/>
        </w:rPr>
      </w:pPr>
      <w:r w:rsidRPr="00CC0901">
        <w:rPr>
          <w:rFonts w:cs="Arial"/>
          <w:sz w:val="22"/>
          <w:szCs w:val="22"/>
        </w:rPr>
        <w:t>ABNT NBR 6490:1985 - Reconhecimento e amostragem para fins de caracterização de ocorrência de rochas;</w:t>
      </w:r>
    </w:p>
    <w:p w14:paraId="1CC98717" w14:textId="77777777" w:rsidR="00CB2BCC" w:rsidRPr="00CC0901" w:rsidRDefault="00CB2BCC" w:rsidP="00CC0901">
      <w:pPr>
        <w:pStyle w:val="Ttulo3"/>
        <w:rPr>
          <w:rFonts w:cs="Arial"/>
          <w:sz w:val="22"/>
          <w:szCs w:val="22"/>
        </w:rPr>
      </w:pPr>
      <w:r w:rsidRPr="00CC0901">
        <w:rPr>
          <w:rFonts w:cs="Arial"/>
          <w:sz w:val="22"/>
          <w:szCs w:val="22"/>
        </w:rPr>
        <w:t>ABNT NBR 6491:1985 - Reconhecimento e amostragem para fins de caracterização de pedregulho e areia;</w:t>
      </w:r>
    </w:p>
    <w:p w14:paraId="1CC98718" w14:textId="77777777" w:rsidR="00CB2BCC" w:rsidRPr="00CC0901" w:rsidRDefault="00CB2BCC" w:rsidP="00CC0901">
      <w:pPr>
        <w:pStyle w:val="Ttulo3"/>
        <w:rPr>
          <w:rFonts w:cs="Arial"/>
          <w:sz w:val="22"/>
          <w:szCs w:val="22"/>
        </w:rPr>
      </w:pPr>
      <w:r w:rsidRPr="00CC0901">
        <w:rPr>
          <w:rFonts w:cs="Arial"/>
          <w:sz w:val="22"/>
          <w:szCs w:val="22"/>
        </w:rPr>
        <w:t>ABNT NBR 6502:1995 - Rochas e solos - Terminologia;</w:t>
      </w:r>
    </w:p>
    <w:p w14:paraId="1CC98719" w14:textId="77777777" w:rsidR="00CB2BCC" w:rsidRPr="00CC0901" w:rsidRDefault="00CB2BCC" w:rsidP="00CC0901">
      <w:pPr>
        <w:pStyle w:val="Ttulo3"/>
        <w:rPr>
          <w:rFonts w:cs="Arial"/>
          <w:sz w:val="22"/>
          <w:szCs w:val="22"/>
        </w:rPr>
      </w:pPr>
      <w:r w:rsidRPr="00CC0901">
        <w:rPr>
          <w:rFonts w:cs="Arial"/>
          <w:sz w:val="22"/>
          <w:szCs w:val="22"/>
        </w:rPr>
        <w:t>ABNT NBR 7181:1988 - Solo - Análise granulométrica - Método de ensaio;</w:t>
      </w:r>
    </w:p>
    <w:p w14:paraId="1CC9871A" w14:textId="77777777" w:rsidR="00CB2BCC" w:rsidRPr="00CC0901" w:rsidRDefault="00CB2BCC" w:rsidP="00CC0901">
      <w:pPr>
        <w:pStyle w:val="Ttulo3"/>
        <w:rPr>
          <w:rFonts w:cs="Arial"/>
          <w:sz w:val="22"/>
          <w:szCs w:val="22"/>
        </w:rPr>
      </w:pPr>
      <w:r w:rsidRPr="00CC0901">
        <w:rPr>
          <w:rFonts w:cs="Arial"/>
          <w:sz w:val="22"/>
          <w:szCs w:val="22"/>
        </w:rPr>
        <w:t>ABNT NBR 8036:1983 - Programação de sondagens de simples reconhecimento dos solos para fundações de edifícios - Procedimento;</w:t>
      </w:r>
    </w:p>
    <w:p w14:paraId="1CC9871B" w14:textId="77777777" w:rsidR="00CB2BCC" w:rsidRPr="00CC0901" w:rsidRDefault="00CB2BCC" w:rsidP="00CC0901">
      <w:pPr>
        <w:pStyle w:val="Ttulo3"/>
        <w:rPr>
          <w:rFonts w:cs="Arial"/>
          <w:sz w:val="22"/>
          <w:szCs w:val="22"/>
        </w:rPr>
      </w:pPr>
      <w:r w:rsidRPr="00CC0901">
        <w:rPr>
          <w:rFonts w:cs="Arial"/>
          <w:sz w:val="22"/>
          <w:szCs w:val="22"/>
        </w:rPr>
        <w:t>ABNT NBR 13441:1995 - Rochas e solos - Simbologia;</w:t>
      </w:r>
    </w:p>
    <w:p w14:paraId="1CC9871C" w14:textId="77777777" w:rsidR="00CB2BCC" w:rsidRPr="00CC0901" w:rsidRDefault="00CB2BCC" w:rsidP="00CC0901">
      <w:pPr>
        <w:pStyle w:val="Ttulo3"/>
        <w:rPr>
          <w:rFonts w:cs="Arial"/>
          <w:sz w:val="22"/>
          <w:szCs w:val="22"/>
        </w:rPr>
      </w:pPr>
      <w:r w:rsidRPr="00CC0901">
        <w:rPr>
          <w:rFonts w:cs="Arial"/>
          <w:sz w:val="22"/>
          <w:szCs w:val="22"/>
        </w:rPr>
        <w:t>ABNT NBR 7678:1983 - Segurança na execução de obras e serviços de construção;</w:t>
      </w:r>
    </w:p>
    <w:p w14:paraId="1CC9871D" w14:textId="77777777" w:rsidR="00CB2BCC" w:rsidRPr="00CC0901" w:rsidRDefault="00CB2BCC" w:rsidP="00CC0901">
      <w:pPr>
        <w:pStyle w:val="Ttulo3"/>
        <w:rPr>
          <w:rFonts w:cs="Arial"/>
          <w:sz w:val="22"/>
          <w:szCs w:val="22"/>
        </w:rPr>
      </w:pPr>
      <w:r w:rsidRPr="00CC0901">
        <w:rPr>
          <w:rFonts w:cs="Arial"/>
          <w:sz w:val="22"/>
          <w:szCs w:val="22"/>
        </w:rPr>
        <w:t>NR 18 - Condições e meio ambiente de trabalho na indústria da construção.</w:t>
      </w:r>
    </w:p>
    <w:p w14:paraId="1CC9871E" w14:textId="77777777" w:rsidR="00CB2BCC" w:rsidRDefault="00CB2BCC" w:rsidP="00CC0901">
      <w:pPr>
        <w:pStyle w:val="Ttulo2"/>
        <w:numPr>
          <w:ilvl w:val="0"/>
          <w:numId w:val="0"/>
        </w:numPr>
        <w:ind w:left="1134"/>
        <w:rPr>
          <w:rFonts w:cs="Arial"/>
          <w:sz w:val="22"/>
          <w:szCs w:val="22"/>
        </w:rPr>
      </w:pPr>
    </w:p>
    <w:p w14:paraId="1CC9871F" w14:textId="77777777" w:rsidR="00CB2BCC" w:rsidRDefault="00CB2BCC" w:rsidP="00F16286">
      <w:pPr>
        <w:pStyle w:val="Ttulo2"/>
        <w:rPr>
          <w:rFonts w:cs="Arial"/>
          <w:sz w:val="22"/>
          <w:szCs w:val="22"/>
        </w:rPr>
      </w:pPr>
      <w:r>
        <w:rPr>
          <w:rFonts w:cs="Arial"/>
          <w:sz w:val="22"/>
          <w:szCs w:val="22"/>
        </w:rPr>
        <w:t>EQUIPAMENTOS</w:t>
      </w:r>
    </w:p>
    <w:p w14:paraId="1CC98720"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Torre com roldana;</w:t>
      </w:r>
    </w:p>
    <w:p w14:paraId="1CC98721"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Tubos de revestimento;</w:t>
      </w:r>
    </w:p>
    <w:p w14:paraId="1CC98722"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Composição de perfuração ou cravação;</w:t>
      </w:r>
    </w:p>
    <w:p w14:paraId="1CC98723"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Trado-concha ou cavadeira;</w:t>
      </w:r>
    </w:p>
    <w:p w14:paraId="1CC98724"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Trado helicoidal;</w:t>
      </w:r>
    </w:p>
    <w:p w14:paraId="1CC98725"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Trépano de lavagem;</w:t>
      </w:r>
    </w:p>
    <w:p w14:paraId="1CC98726"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Amostrador-padrão;</w:t>
      </w:r>
    </w:p>
    <w:p w14:paraId="1CC98727"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Cabeças de bateria;</w:t>
      </w:r>
    </w:p>
    <w:p w14:paraId="1CC98728"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Martelo padronizado para a cravação do amostrador;</w:t>
      </w:r>
    </w:p>
    <w:p w14:paraId="1CC98729"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Baldinho para esgotar o furo;</w:t>
      </w:r>
    </w:p>
    <w:p w14:paraId="1CC9872A"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Medidor de nível d’água;</w:t>
      </w:r>
    </w:p>
    <w:p w14:paraId="1CC9872B"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Metro de balcão;</w:t>
      </w:r>
    </w:p>
    <w:p w14:paraId="1CC9872C"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Recipientes para amostras;</w:t>
      </w:r>
    </w:p>
    <w:p w14:paraId="1CC9872D"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Bomba d’água centrífuga motorizada;</w:t>
      </w:r>
    </w:p>
    <w:p w14:paraId="1CC9872E"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Caixa d’água ou tambor com divisória interna para decantação;</w:t>
      </w:r>
    </w:p>
    <w:p w14:paraId="1CC9872F"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Ferramentas gerais necessárias à operação da aparelhagem.</w:t>
      </w:r>
    </w:p>
    <w:p w14:paraId="1CC98730" w14:textId="77777777" w:rsidR="00CB2BCC" w:rsidRPr="00CC0901" w:rsidRDefault="00CB2BCC" w:rsidP="00CC0901"/>
    <w:p w14:paraId="1CC98731" w14:textId="77777777" w:rsidR="00CB2BCC" w:rsidRDefault="00CB2BCC" w:rsidP="00F16286">
      <w:pPr>
        <w:pStyle w:val="Ttulo2"/>
        <w:rPr>
          <w:rFonts w:cs="Arial"/>
          <w:sz w:val="22"/>
          <w:szCs w:val="22"/>
        </w:rPr>
      </w:pPr>
      <w:r>
        <w:rPr>
          <w:rFonts w:cs="Arial"/>
          <w:sz w:val="22"/>
          <w:szCs w:val="22"/>
        </w:rPr>
        <w:t>PROCEDIMENTOS GERAIS</w:t>
      </w:r>
    </w:p>
    <w:p w14:paraId="1CC98732" w14:textId="77777777" w:rsidR="00CB2BCC" w:rsidRDefault="00CB2BCC" w:rsidP="00CC0901"/>
    <w:p w14:paraId="1CC98733" w14:textId="77777777" w:rsidR="00CB2BCC" w:rsidRPr="00CC0901" w:rsidRDefault="00CB2BCC" w:rsidP="00CC0901">
      <w:pPr>
        <w:pStyle w:val="Ttulo3"/>
        <w:rPr>
          <w:rFonts w:cs="Arial"/>
          <w:sz w:val="22"/>
          <w:szCs w:val="22"/>
        </w:rPr>
      </w:pPr>
      <w:r w:rsidRPr="00CC0901">
        <w:rPr>
          <w:rFonts w:cs="Arial"/>
          <w:sz w:val="22"/>
          <w:szCs w:val="22"/>
        </w:rPr>
        <w:t>Todos os procedimentos devem estar em acordo com as normas vigentes, obedecendo ainda às premissas para o meio a ser testado.</w:t>
      </w:r>
    </w:p>
    <w:p w14:paraId="1CC98734" w14:textId="77777777" w:rsidR="00CB2BCC" w:rsidRPr="00CC0901" w:rsidRDefault="00CB2BCC" w:rsidP="00CC0901">
      <w:pPr>
        <w:pStyle w:val="Ttulo3"/>
        <w:rPr>
          <w:rFonts w:cs="Arial"/>
          <w:sz w:val="22"/>
          <w:szCs w:val="22"/>
        </w:rPr>
      </w:pPr>
      <w:r w:rsidRPr="00CC0901">
        <w:rPr>
          <w:rFonts w:cs="Arial"/>
          <w:sz w:val="22"/>
          <w:szCs w:val="22"/>
        </w:rPr>
        <w:t>Todos os procedimentos deverão ser realizados por empresa e profissionais especializados.</w:t>
      </w:r>
    </w:p>
    <w:p w14:paraId="1CC98735" w14:textId="77777777" w:rsidR="00CB2BCC" w:rsidRPr="00CC0901" w:rsidRDefault="00CB2BCC" w:rsidP="00CC0901">
      <w:pPr>
        <w:pStyle w:val="Ttulo3"/>
        <w:rPr>
          <w:rFonts w:cs="Arial"/>
          <w:sz w:val="22"/>
          <w:szCs w:val="22"/>
        </w:rPr>
      </w:pPr>
      <w:r w:rsidRPr="00CC0901">
        <w:rPr>
          <w:rFonts w:cs="Arial"/>
          <w:sz w:val="22"/>
          <w:szCs w:val="22"/>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CC98736"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Dois para área da projeção em planta do edifício até 200 m²;</w:t>
      </w:r>
    </w:p>
    <w:p w14:paraId="1CC98737"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Três para área entre 200 m² e 400 m².</w:t>
      </w:r>
    </w:p>
    <w:p w14:paraId="1CC98738" w14:textId="77777777" w:rsidR="00CB2BCC" w:rsidRPr="00CC0901" w:rsidRDefault="00CB2BCC" w:rsidP="00CC0901">
      <w:pPr>
        <w:pStyle w:val="Ttulo3"/>
        <w:rPr>
          <w:rFonts w:cs="Arial"/>
          <w:sz w:val="22"/>
          <w:szCs w:val="22"/>
        </w:rPr>
      </w:pPr>
      <w:r w:rsidRPr="00CC0901">
        <w:rPr>
          <w:rFonts w:cs="Arial"/>
          <w:sz w:val="22"/>
          <w:szCs w:val="22"/>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CC98739" w14:textId="77777777" w:rsidR="00CB2BCC" w:rsidRPr="00CC0901" w:rsidRDefault="00CB2BCC" w:rsidP="00CC0901">
      <w:pPr>
        <w:pStyle w:val="Ttulo3"/>
        <w:rPr>
          <w:rFonts w:cs="Arial"/>
          <w:sz w:val="22"/>
          <w:szCs w:val="22"/>
        </w:rPr>
      </w:pPr>
      <w:r w:rsidRPr="00CC0901">
        <w:rPr>
          <w:rFonts w:cs="Arial"/>
          <w:sz w:val="22"/>
          <w:szCs w:val="22"/>
        </w:rPr>
        <w:t>Deve ser retirar uma amostra do material da camada superficial para envio ao laboratório junto com o material da sondagem.</w:t>
      </w:r>
    </w:p>
    <w:p w14:paraId="1CC9873A" w14:textId="77777777" w:rsidR="00CB2BCC" w:rsidRPr="00CC0901" w:rsidRDefault="00CB2BCC" w:rsidP="00CC0901">
      <w:pPr>
        <w:pStyle w:val="Ttulo3"/>
        <w:rPr>
          <w:rFonts w:cs="Arial"/>
          <w:sz w:val="22"/>
          <w:szCs w:val="22"/>
        </w:rPr>
      </w:pPr>
      <w:r w:rsidRPr="00CC0901">
        <w:rPr>
          <w:rFonts w:cs="Arial"/>
          <w:sz w:val="22"/>
          <w:szCs w:val="22"/>
        </w:rPr>
        <w:t>A perfuração deve iniciar com o auxílio de um trado helicoidal, até atingir a profundidade de 1 metro.</w:t>
      </w:r>
    </w:p>
    <w:p w14:paraId="1CC9873B" w14:textId="77777777" w:rsidR="00CB2BCC" w:rsidRPr="00CC0901" w:rsidRDefault="00CB2BCC" w:rsidP="00CC0901">
      <w:pPr>
        <w:pStyle w:val="Ttulo3"/>
        <w:rPr>
          <w:rFonts w:cs="Arial"/>
          <w:sz w:val="22"/>
          <w:szCs w:val="22"/>
        </w:rPr>
      </w:pPr>
      <w:r w:rsidRPr="00CC0901">
        <w:rPr>
          <w:rFonts w:cs="Arial"/>
          <w:sz w:val="22"/>
          <w:szCs w:val="22"/>
        </w:rPr>
        <w:t>Antes de ser iniciada a cravação, deverá ser marcado um segmento com 45 cm de comprimento, dividido em três partes iguais de 15 cm, que será utilizado como referência para a contagem de batidas do martelo.</w:t>
      </w:r>
    </w:p>
    <w:p w14:paraId="1CC9873C" w14:textId="77777777" w:rsidR="00CB2BCC" w:rsidRPr="00CC0901" w:rsidRDefault="00CB2BCC" w:rsidP="00CC0901">
      <w:pPr>
        <w:pStyle w:val="Ttulo3"/>
        <w:rPr>
          <w:rFonts w:cs="Arial"/>
          <w:sz w:val="22"/>
          <w:szCs w:val="22"/>
        </w:rPr>
      </w:pPr>
      <w:r w:rsidRPr="00CC0901">
        <w:rPr>
          <w:rFonts w:cs="Arial"/>
          <w:sz w:val="22"/>
          <w:szCs w:val="22"/>
        </w:rPr>
        <w:t>O martelo deverá ser posicionado a 75 cm de altura da cabeça de bater e iniciam-se as quedas sucessivas do martelo até que sejam cravados 45 cm. Anota-se no boletim de campo a quantidade de golpes necessária para cravar cada 15 cm do amostrador.</w:t>
      </w:r>
    </w:p>
    <w:p w14:paraId="1CC9873D" w14:textId="77777777" w:rsidR="00CB2BCC" w:rsidRPr="00CC0901" w:rsidRDefault="00CB2BCC" w:rsidP="00CC0901">
      <w:pPr>
        <w:pStyle w:val="Ttulo3"/>
        <w:rPr>
          <w:rFonts w:cs="Arial"/>
          <w:sz w:val="22"/>
          <w:szCs w:val="22"/>
        </w:rPr>
      </w:pPr>
      <w:r w:rsidRPr="00CC0901">
        <w:rPr>
          <w:rFonts w:cs="Arial"/>
          <w:sz w:val="22"/>
          <w:szCs w:val="22"/>
        </w:rPr>
        <w:t>O valor da resistência à penetração consistirá no número de golpes necessários à cravação dos 30 cm finais do amostrador.</w:t>
      </w:r>
    </w:p>
    <w:p w14:paraId="1CC9873E" w14:textId="77777777" w:rsidR="00CB2BCC" w:rsidRPr="00CC0901" w:rsidRDefault="00CB2BCC" w:rsidP="00CC0901">
      <w:pPr>
        <w:pStyle w:val="Ttulo3"/>
        <w:rPr>
          <w:rFonts w:cs="Arial"/>
          <w:sz w:val="22"/>
          <w:szCs w:val="22"/>
        </w:rPr>
      </w:pPr>
      <w:r w:rsidRPr="00CC0901">
        <w:rPr>
          <w:rFonts w:cs="Arial"/>
          <w:sz w:val="22"/>
          <w:szCs w:val="22"/>
        </w:rPr>
        <w:t>Após a cravação dos 45 cm, serão retiradas do amostrador padrão as amostras de solo. Estas devem ser armazenadas em sacos plásticos e identificadas com etiquetas para envio ao laboratório.</w:t>
      </w:r>
    </w:p>
    <w:p w14:paraId="1CC9873F" w14:textId="77777777" w:rsidR="00CB2BCC" w:rsidRPr="00CC0901" w:rsidRDefault="00CB2BCC" w:rsidP="00CC0901">
      <w:pPr>
        <w:pStyle w:val="Ttulo3"/>
        <w:rPr>
          <w:rFonts w:cs="Arial"/>
          <w:sz w:val="22"/>
          <w:szCs w:val="22"/>
        </w:rPr>
      </w:pPr>
      <w:r w:rsidRPr="00CC0901">
        <w:rPr>
          <w:rFonts w:cs="Arial"/>
          <w:sz w:val="22"/>
          <w:szCs w:val="22"/>
        </w:rPr>
        <w:t>Cada recipiente de amostra deve ser provido de uma etiqueta, na qual, escrito com tinta indelével, deve constar o seguinte:</w:t>
      </w:r>
    </w:p>
    <w:p w14:paraId="1CC98740"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Designação ou número do trabalho;</w:t>
      </w:r>
    </w:p>
    <w:p w14:paraId="1CC98741"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Local da obra;</w:t>
      </w:r>
    </w:p>
    <w:p w14:paraId="1CC98742"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Número da sondagem;</w:t>
      </w:r>
    </w:p>
    <w:p w14:paraId="1CC98743"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Número da amostra;</w:t>
      </w:r>
    </w:p>
    <w:p w14:paraId="1CC98744"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Profundidade da amostra;</w:t>
      </w:r>
    </w:p>
    <w:p w14:paraId="1CC98745"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Números de golpes e respectivas penetrações do amostrador.</w:t>
      </w:r>
    </w:p>
    <w:p w14:paraId="1CC98746" w14:textId="77777777" w:rsidR="00CB2BCC" w:rsidRPr="00CC0901" w:rsidRDefault="00CB2BCC" w:rsidP="00CC0901">
      <w:pPr>
        <w:pStyle w:val="Ttulo3"/>
        <w:rPr>
          <w:rFonts w:cs="Arial"/>
          <w:sz w:val="22"/>
          <w:szCs w:val="22"/>
        </w:rPr>
      </w:pPr>
      <w:r w:rsidRPr="00CC0901">
        <w:rPr>
          <w:rFonts w:cs="Arial"/>
          <w:sz w:val="22"/>
          <w:szCs w:val="22"/>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CC98747" w14:textId="77777777" w:rsidR="00CB2BCC" w:rsidRPr="00CC0901" w:rsidRDefault="00CB2BCC" w:rsidP="00CC0901">
      <w:pPr>
        <w:pStyle w:val="Ttulo3"/>
        <w:rPr>
          <w:rFonts w:cs="Arial"/>
          <w:sz w:val="22"/>
          <w:szCs w:val="22"/>
        </w:rPr>
      </w:pPr>
      <w:r w:rsidRPr="00CC0901">
        <w:rPr>
          <w:rFonts w:cs="Arial"/>
          <w:sz w:val="22"/>
          <w:szCs w:val="22"/>
        </w:rPr>
        <w:t>Quando necessária à garantia da limpeza do furo e da estabilização do solo na cota de ensaio, principalmente quando da ocorrência de areias submersas, deve-se usar também, além de tubo de revestimento, lama de estabilização.</w:t>
      </w:r>
    </w:p>
    <w:p w14:paraId="1CC98748" w14:textId="77777777" w:rsidR="00CB2BCC" w:rsidRPr="00CC0901" w:rsidRDefault="00CB2BCC" w:rsidP="00CC0901">
      <w:pPr>
        <w:pStyle w:val="Ttulo3"/>
        <w:rPr>
          <w:rFonts w:cs="Arial"/>
          <w:sz w:val="22"/>
          <w:szCs w:val="22"/>
        </w:rPr>
      </w:pPr>
      <w:r w:rsidRPr="00CC0901">
        <w:rPr>
          <w:rFonts w:cs="Arial"/>
          <w:sz w:val="22"/>
          <w:szCs w:val="22"/>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CC98749" w14:textId="77777777" w:rsidR="00CB2BCC" w:rsidRPr="00CC0901" w:rsidRDefault="00CB2BCC" w:rsidP="00CC0901">
      <w:pPr>
        <w:pStyle w:val="Ttulo3"/>
        <w:rPr>
          <w:rFonts w:cs="Arial"/>
          <w:sz w:val="22"/>
          <w:szCs w:val="22"/>
        </w:rPr>
      </w:pPr>
      <w:r w:rsidRPr="00CC0901">
        <w:rPr>
          <w:rFonts w:cs="Arial"/>
          <w:sz w:val="22"/>
          <w:szCs w:val="22"/>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CC9874A" w14:textId="77777777" w:rsidR="00CB2BCC" w:rsidRPr="00CC0901" w:rsidRDefault="00CB2BCC" w:rsidP="00CC0901">
      <w:pPr>
        <w:pStyle w:val="Ttulo3"/>
        <w:rPr>
          <w:rFonts w:cs="Arial"/>
          <w:sz w:val="22"/>
          <w:szCs w:val="22"/>
        </w:rPr>
      </w:pPr>
      <w:r w:rsidRPr="00CC0901">
        <w:rPr>
          <w:rFonts w:cs="Arial"/>
          <w:sz w:val="22"/>
          <w:szCs w:val="22"/>
        </w:rPr>
        <w:t>Quando, com a aplicação do primeiro golpe do martelo, a penetração for superior a 45 cm, o resultado da cravação do amostrador deve ser expresso pela relação deste golpe com a respectiva penetração.</w:t>
      </w:r>
    </w:p>
    <w:p w14:paraId="1CC9874B" w14:textId="77777777" w:rsidR="00CB2BCC" w:rsidRPr="00CC0901" w:rsidRDefault="00CB2BCC" w:rsidP="00CC0901">
      <w:pPr>
        <w:pStyle w:val="Ttulo3"/>
        <w:rPr>
          <w:rFonts w:cs="Arial"/>
          <w:sz w:val="22"/>
          <w:szCs w:val="22"/>
        </w:rPr>
      </w:pPr>
      <w:r w:rsidRPr="00CC0901">
        <w:rPr>
          <w:rFonts w:cs="Arial"/>
          <w:sz w:val="22"/>
          <w:szCs w:val="22"/>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CC9874C" w14:textId="77777777" w:rsidR="00CB2BCC" w:rsidRPr="00CC0901" w:rsidRDefault="00CB2BCC" w:rsidP="00CC0901">
      <w:pPr>
        <w:pStyle w:val="Ttulo3"/>
        <w:rPr>
          <w:rFonts w:cs="Arial"/>
          <w:sz w:val="22"/>
          <w:szCs w:val="22"/>
        </w:rPr>
      </w:pPr>
      <w:r w:rsidRPr="00CC0901">
        <w:rPr>
          <w:rFonts w:cs="Arial"/>
          <w:sz w:val="22"/>
          <w:szCs w:val="22"/>
        </w:rPr>
        <w:t>A cravação do amostrador-padrão é interrompida antes dos 45 cm de penetração sempre que ocorrer uma das seguintes situações:</w:t>
      </w:r>
    </w:p>
    <w:p w14:paraId="1CC9874D"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Em qualquer dos três segmentos de 15 cm, o número de golpes ultrapassar 30;</w:t>
      </w:r>
    </w:p>
    <w:p w14:paraId="1CC9874E"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Um total de 50 golpes tiver sido aplicado durante toda a cravação;</w:t>
      </w:r>
    </w:p>
    <w:p w14:paraId="1CC9874F" w14:textId="77777777" w:rsidR="00CB2BCC" w:rsidRPr="004A724E" w:rsidRDefault="00CB2BCC" w:rsidP="00122D60">
      <w:pPr>
        <w:pStyle w:val="Ttulo4"/>
        <w:numPr>
          <w:ilvl w:val="0"/>
          <w:numId w:val="6"/>
        </w:numPr>
      </w:pPr>
      <w:r w:rsidRPr="00CC0901">
        <w:rPr>
          <w:rFonts w:cs="Arial"/>
          <w:sz w:val="22"/>
          <w:szCs w:val="22"/>
        </w:rPr>
        <w:t>Não se observar avanço do amostrador-padrão durante a aplicação de cinco golpes sucessivos do</w:t>
      </w:r>
      <w:r w:rsidRPr="004A724E">
        <w:t xml:space="preserve"> martelo.</w:t>
      </w:r>
    </w:p>
    <w:p w14:paraId="1CC98750" w14:textId="77777777" w:rsidR="00CB2BCC" w:rsidRPr="00CC0901" w:rsidRDefault="00CB2BCC" w:rsidP="00CC0901">
      <w:pPr>
        <w:pStyle w:val="Ttulo3"/>
        <w:rPr>
          <w:rFonts w:cs="Arial"/>
          <w:sz w:val="22"/>
          <w:szCs w:val="22"/>
        </w:rPr>
      </w:pPr>
      <w:r w:rsidRPr="00CC0901">
        <w:rPr>
          <w:rFonts w:cs="Arial"/>
          <w:sz w:val="22"/>
          <w:szCs w:val="22"/>
        </w:rPr>
        <w:t>O processo de perfuração por circulação de água, associado aos ensaios penetrométricos, deve ser utilizado até onde se obtiver, nesses ensaios, uma das seguintes condições:</w:t>
      </w:r>
    </w:p>
    <w:p w14:paraId="1CC98751"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Quando, em 3 m sucessivos, se obtiver 30 golpes para penetração dos 15 cm iniciais do amostrador-padrão;</w:t>
      </w:r>
    </w:p>
    <w:p w14:paraId="1CC98752"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Quando, em 4 m sucessivos, se obtiver 50 golpes para penetração dos 30 cm iniciais do amostrador-padrão;</w:t>
      </w:r>
    </w:p>
    <w:p w14:paraId="1CC98753"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Quando, em 5 m sucessivos, se obtiver 50 golpes para a penetração dos 45 cm do amostrador-padrão.</w:t>
      </w:r>
    </w:p>
    <w:p w14:paraId="1CC98754" w14:textId="77777777" w:rsidR="00CB2BCC" w:rsidRPr="00CC0901" w:rsidRDefault="00CB2BCC" w:rsidP="00CC0901">
      <w:pPr>
        <w:pStyle w:val="Ttulo3"/>
        <w:rPr>
          <w:rFonts w:cs="Arial"/>
          <w:sz w:val="22"/>
          <w:szCs w:val="22"/>
        </w:rPr>
      </w:pPr>
      <w:r w:rsidRPr="00CC0901">
        <w:rPr>
          <w:rFonts w:cs="Arial"/>
          <w:sz w:val="22"/>
          <w:szCs w:val="22"/>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CC98755" w14:textId="77777777" w:rsidR="00CB2BCC" w:rsidRPr="00CC0901" w:rsidRDefault="00CB2BCC" w:rsidP="00CC0901">
      <w:pPr>
        <w:pStyle w:val="Ttulo3"/>
        <w:rPr>
          <w:rFonts w:cs="Arial"/>
          <w:sz w:val="22"/>
          <w:szCs w:val="22"/>
        </w:rPr>
      </w:pPr>
      <w:r w:rsidRPr="00CC0901">
        <w:rPr>
          <w:rFonts w:cs="Arial"/>
          <w:sz w:val="22"/>
          <w:szCs w:val="22"/>
        </w:rPr>
        <w:t>As amostras devem ser conservadas pela empresa executora, à disposição dos interessados por um período mínimo de 60 dias, a contar da data da apresentação do relatório.</w:t>
      </w:r>
    </w:p>
    <w:p w14:paraId="1CC98756" w14:textId="77777777" w:rsidR="00CB2BCC" w:rsidRPr="00CC0901" w:rsidRDefault="00CB2BCC" w:rsidP="00CC0901">
      <w:pPr>
        <w:pStyle w:val="Ttulo3"/>
        <w:rPr>
          <w:rFonts w:cs="Arial"/>
          <w:sz w:val="22"/>
          <w:szCs w:val="22"/>
        </w:rPr>
      </w:pPr>
      <w:r w:rsidRPr="00CC0901">
        <w:rPr>
          <w:rFonts w:cs="Arial"/>
          <w:sz w:val="22"/>
          <w:szCs w:val="22"/>
        </w:rPr>
        <w:t>Após o encerramento da sondagem e a retirada do tubo de revestimento, decorridas no mínimo 12 h, e estando o furo não obstruído, deve ser medida a posição do nível d’água, bem como a profundidade até onde o furo permanece aberto.</w:t>
      </w:r>
    </w:p>
    <w:p w14:paraId="1CC98757" w14:textId="77777777" w:rsidR="00CB2BCC" w:rsidRPr="00CC0901" w:rsidRDefault="00CB2BCC" w:rsidP="00CC0901"/>
    <w:p w14:paraId="1CC98758" w14:textId="77777777" w:rsidR="00CB2BCC" w:rsidRDefault="00CB2BCC" w:rsidP="00CC0901">
      <w:pPr>
        <w:pStyle w:val="nivel2"/>
        <w:rPr>
          <w:rFonts w:cs="Arial"/>
          <w:sz w:val="22"/>
          <w:szCs w:val="22"/>
        </w:rPr>
      </w:pPr>
      <w:r w:rsidRPr="00CC0901">
        <w:rPr>
          <w:rFonts w:cs="Arial"/>
          <w:sz w:val="22"/>
          <w:szCs w:val="22"/>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CC98759" w14:textId="77777777" w:rsidR="00CB2BCC" w:rsidRPr="00CC0901" w:rsidRDefault="00CB2BCC" w:rsidP="00CC0901">
      <w:pPr>
        <w:pStyle w:val="nivel2"/>
        <w:numPr>
          <w:ilvl w:val="0"/>
          <w:numId w:val="0"/>
        </w:numPr>
        <w:ind w:left="1134"/>
        <w:rPr>
          <w:rFonts w:cs="Arial"/>
          <w:sz w:val="22"/>
          <w:szCs w:val="22"/>
        </w:rPr>
      </w:pPr>
    </w:p>
    <w:p w14:paraId="1CC9875A" w14:textId="77777777" w:rsidR="00CB2BCC" w:rsidRPr="00F16286" w:rsidRDefault="00CB2BCC" w:rsidP="00CC0901">
      <w:pPr>
        <w:pStyle w:val="nivel2"/>
        <w:rPr>
          <w:rFonts w:cs="Arial"/>
          <w:sz w:val="22"/>
          <w:szCs w:val="22"/>
        </w:rPr>
      </w:pPr>
      <w:r w:rsidRPr="00CC0901">
        <w:rPr>
          <w:rFonts w:cs="Arial"/>
          <w:sz w:val="22"/>
          <w:szCs w:val="22"/>
        </w:rPr>
        <w:t xml:space="preserve">Os resultados das sondagens de simples </w:t>
      </w:r>
      <w:proofErr w:type="gramStart"/>
      <w:r w:rsidRPr="00CC0901">
        <w:rPr>
          <w:rFonts w:cs="Arial"/>
          <w:sz w:val="22"/>
          <w:szCs w:val="22"/>
        </w:rPr>
        <w:t>reconhecimento devem</w:t>
      </w:r>
      <w:proofErr w:type="gramEnd"/>
      <w:r w:rsidRPr="00CC0901">
        <w:rPr>
          <w:rFonts w:cs="Arial"/>
          <w:sz w:val="22"/>
          <w:szCs w:val="22"/>
        </w:rPr>
        <w:t xml:space="preserve"> ser apresentados datados e assinados por responsável técnico pelo trabalho perante o Conselho Regional de Engenharia e Agronomia - CREA. O relatório deve ser apresentado em formato A4. Devem constar no relatório</w:t>
      </w:r>
      <w:r w:rsidRPr="00F16286">
        <w:rPr>
          <w:rFonts w:cs="Arial"/>
          <w:sz w:val="22"/>
          <w:szCs w:val="22"/>
        </w:rPr>
        <w:t xml:space="preserve"> no</w:t>
      </w:r>
      <w:r>
        <w:rPr>
          <w:rFonts w:cs="Arial"/>
          <w:sz w:val="22"/>
          <w:szCs w:val="22"/>
        </w:rPr>
        <w:t xml:space="preserve"> </w:t>
      </w:r>
      <w:r w:rsidRPr="00F16286">
        <w:rPr>
          <w:rFonts w:cs="Arial"/>
          <w:sz w:val="22"/>
          <w:szCs w:val="22"/>
        </w:rPr>
        <w:t>mínimo</w:t>
      </w:r>
      <w:r>
        <w:rPr>
          <w:rFonts w:cs="Arial"/>
          <w:sz w:val="22"/>
          <w:szCs w:val="22"/>
        </w:rPr>
        <w:t>:</w:t>
      </w:r>
    </w:p>
    <w:p w14:paraId="1CC9875B"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Local e natureza da obra;</w:t>
      </w:r>
    </w:p>
    <w:p w14:paraId="1CC9875C"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Descrição sumária do método e dos equipamentos empregados na realização das sondagens;</w:t>
      </w:r>
    </w:p>
    <w:p w14:paraId="1CC9875D"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Total perfurado, em metros;</w:t>
      </w:r>
    </w:p>
    <w:p w14:paraId="1CC9875E"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Declaração de que foram obedecidas as Normas Brasileiras relativas ao assunto;</w:t>
      </w:r>
    </w:p>
    <w:p w14:paraId="1CC9875F"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Outras observações e comentários, se julgados importantes;</w:t>
      </w:r>
    </w:p>
    <w:p w14:paraId="1CC98760"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Referências aos desenhos constantes do relatório;</w:t>
      </w:r>
    </w:p>
    <w:p w14:paraId="1CC98761"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Anexo ao relatório deve constar desenho contendo:</w:t>
      </w:r>
    </w:p>
    <w:p w14:paraId="1CC98762" w14:textId="77777777" w:rsidR="00CB2BCC" w:rsidRPr="00CC0901" w:rsidRDefault="00CB2BCC" w:rsidP="00122D60">
      <w:pPr>
        <w:pStyle w:val="Ttulo4"/>
        <w:numPr>
          <w:ilvl w:val="1"/>
          <w:numId w:val="6"/>
        </w:numPr>
        <w:rPr>
          <w:rFonts w:cs="Arial"/>
          <w:sz w:val="22"/>
          <w:szCs w:val="22"/>
        </w:rPr>
      </w:pPr>
      <w:r w:rsidRPr="00CC0901">
        <w:rPr>
          <w:rFonts w:cs="Arial"/>
          <w:sz w:val="22"/>
          <w:szCs w:val="22"/>
        </w:rPr>
        <w:t xml:space="preserve">Planta do local da obra, cotada e amarrada a referências facilmente encontradas e pouco mutáveis (logradouros públicos, acidentes geográficos, marcos </w:t>
      </w:r>
      <w:proofErr w:type="gramStart"/>
      <w:r w:rsidRPr="00CC0901">
        <w:rPr>
          <w:rFonts w:cs="Arial"/>
          <w:sz w:val="22"/>
          <w:szCs w:val="22"/>
        </w:rPr>
        <w:t>topográficos, etc.</w:t>
      </w:r>
      <w:proofErr w:type="gramEnd"/>
      <w:r w:rsidRPr="00CC0901">
        <w:rPr>
          <w:rFonts w:cs="Arial"/>
          <w:sz w:val="22"/>
          <w:szCs w:val="22"/>
        </w:rPr>
        <w:t>) de forma a não deixar dúvidas quanto a sua localização;</w:t>
      </w:r>
    </w:p>
    <w:p w14:paraId="1CC98763" w14:textId="77777777" w:rsidR="00CB2BCC" w:rsidRPr="00CC0901" w:rsidRDefault="00CB2BCC" w:rsidP="00122D60">
      <w:pPr>
        <w:pStyle w:val="Ttulo4"/>
        <w:numPr>
          <w:ilvl w:val="1"/>
          <w:numId w:val="6"/>
        </w:numPr>
        <w:rPr>
          <w:rFonts w:cs="Arial"/>
          <w:sz w:val="22"/>
          <w:szCs w:val="22"/>
        </w:rPr>
      </w:pPr>
      <w:r w:rsidRPr="00CC0901">
        <w:rPr>
          <w:rFonts w:cs="Arial"/>
          <w:sz w:val="22"/>
          <w:szCs w:val="22"/>
        </w:rPr>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1CC98764" w14:textId="77777777" w:rsidR="00CB2BCC" w:rsidRPr="00CC0901" w:rsidRDefault="00CB2BCC" w:rsidP="00CC0901">
      <w:pPr>
        <w:pStyle w:val="nivel2"/>
        <w:rPr>
          <w:rFonts w:cs="Arial"/>
          <w:sz w:val="22"/>
          <w:szCs w:val="22"/>
        </w:rPr>
      </w:pPr>
      <w:r w:rsidRPr="00CC0901">
        <w:rPr>
          <w:rFonts w:cs="Arial"/>
          <w:sz w:val="22"/>
          <w:szCs w:val="22"/>
        </w:rPr>
        <w:t>Devem ser apresentados desenhos contendo o perfil individual de cada sondagem e/ou seções do subsolo, nos quais devem constar, obrigatoriamente:</w:t>
      </w:r>
    </w:p>
    <w:p w14:paraId="1CC98765"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Nome da firma executora das sondagens, o nome do interessado, local da obra, indicação do número do trabalho, e os vistos do desenhista e do engenheiro ou geólogo responsável pelo trabalho;</w:t>
      </w:r>
    </w:p>
    <w:p w14:paraId="1CC98766"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Diâmetro do tubo de revestimento e do amostrador empregados na execução das sondagens;</w:t>
      </w:r>
    </w:p>
    <w:p w14:paraId="1CC98767"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Número(s) da(s) sondagem(s);</w:t>
      </w:r>
    </w:p>
    <w:p w14:paraId="1CC98768"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Cota(s) da(s) boca(s) furo(s) de sondagem, com precisão de 10 milímetros;</w:t>
      </w:r>
    </w:p>
    <w:p w14:paraId="1CC98769"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Linhas horizontais cotadas a cada 5 metros em relação à referência de nível;</w:t>
      </w:r>
    </w:p>
    <w:p w14:paraId="1CC9876A"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Posição das amostras colhidas, devendo ser indicadas as amostras não recuperadas e os detritos colhidos por sedimentação;</w:t>
      </w:r>
    </w:p>
    <w:p w14:paraId="1CC9876B"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As profundidades, em relação à boca do furo, das transições das camadas e do final das sondagens;</w:t>
      </w:r>
    </w:p>
    <w:p w14:paraId="1CC9876C"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seqüência do ensaio;</w:t>
      </w:r>
    </w:p>
    <w:p w14:paraId="1CC9876D"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Identificação dos solos amostrados, utilizando a NBR 6502;</w:t>
      </w:r>
    </w:p>
    <w:p w14:paraId="1CC9876E"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 xml:space="preserve"> A posição do(s) nível(is) d’água encontrado(s) e a(s) respectiva(s) data(s) de observação(ões). Indicar se houve pressão ou perda d’água durante a perfuração;</w:t>
      </w:r>
    </w:p>
    <w:p w14:paraId="1CC9876F"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 xml:space="preserve"> Convenção gráfica dos solos que compõem as camadas do subsolo como prescrito na NBR 6502;</w:t>
      </w:r>
    </w:p>
    <w:p w14:paraId="1CC98770"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 xml:space="preserve"> Datas de início e término de cada sondagem;</w:t>
      </w:r>
    </w:p>
    <w:p w14:paraId="1CC98771"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 xml:space="preserve"> Indicação dos processos de perfuração empregados e respectivos trechos, bem como as posições sucessivas do tubo de revestimento.</w:t>
      </w:r>
    </w:p>
    <w:p w14:paraId="1CC98772"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As sondagens devem ser desenhadas na escala vertical de 1:100. Somente nos casos de sondagens profundas, e em subsolos muito homogêneos, poderá ser empregada escala mais reduzida.</w:t>
      </w:r>
    </w:p>
    <w:p w14:paraId="1CC98773" w14:textId="77777777" w:rsidR="00CB2BCC" w:rsidRPr="00CC0901" w:rsidRDefault="00CB2BCC" w:rsidP="00CC0901">
      <w:pPr>
        <w:pStyle w:val="nivel2"/>
        <w:rPr>
          <w:rFonts w:cs="Arial"/>
          <w:sz w:val="22"/>
          <w:szCs w:val="22"/>
        </w:rPr>
      </w:pPr>
      <w:r w:rsidRPr="00CC0901">
        <w:rPr>
          <w:rFonts w:cs="Arial"/>
          <w:sz w:val="22"/>
          <w:szCs w:val="22"/>
        </w:rPr>
        <w:t>As amostras de solo devem ser examinadas procurando identificá-las no mínimo através das seguintes características:</w:t>
      </w:r>
    </w:p>
    <w:p w14:paraId="1CC98774"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Granulometria (ver NBR 7181);</w:t>
      </w:r>
    </w:p>
    <w:p w14:paraId="1CC98775"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Plasticidade;</w:t>
      </w:r>
    </w:p>
    <w:p w14:paraId="1CC98776"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Cor;</w:t>
      </w:r>
    </w:p>
    <w:p w14:paraId="1CC98777"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Origem, tais como:</w:t>
      </w:r>
    </w:p>
    <w:p w14:paraId="1CC98778"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Solos residuais;</w:t>
      </w:r>
    </w:p>
    <w:p w14:paraId="1CC98779"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Transportados (coluvionares, aluvionares, fluviais e marinhos);</w:t>
      </w:r>
    </w:p>
    <w:p w14:paraId="1CC9877A" w14:textId="77777777" w:rsidR="00CB2BCC" w:rsidRPr="00CC0901" w:rsidRDefault="00CB2BCC" w:rsidP="00122D60">
      <w:pPr>
        <w:pStyle w:val="Ttulo4"/>
        <w:numPr>
          <w:ilvl w:val="0"/>
          <w:numId w:val="6"/>
        </w:numPr>
        <w:rPr>
          <w:rFonts w:cs="Arial"/>
          <w:sz w:val="22"/>
          <w:szCs w:val="22"/>
        </w:rPr>
      </w:pPr>
      <w:r w:rsidRPr="00CC0901">
        <w:rPr>
          <w:rFonts w:cs="Arial"/>
          <w:sz w:val="22"/>
          <w:szCs w:val="22"/>
        </w:rPr>
        <w:t xml:space="preserve">Aterros. </w:t>
      </w:r>
    </w:p>
    <w:p w14:paraId="1CC9877B" w14:textId="77777777" w:rsidR="00CB2BCC" w:rsidRPr="00F16286" w:rsidRDefault="00CB2BCC" w:rsidP="00CC0901">
      <w:pPr>
        <w:pStyle w:val="Ttulo4"/>
        <w:numPr>
          <w:ilvl w:val="0"/>
          <w:numId w:val="0"/>
        </w:numPr>
        <w:ind w:left="1134"/>
        <w:rPr>
          <w:rFonts w:cs="Arial"/>
          <w:sz w:val="22"/>
          <w:szCs w:val="22"/>
        </w:rPr>
      </w:pPr>
    </w:p>
    <w:p w14:paraId="1CC9877C" w14:textId="77777777" w:rsidR="00CB2BCC" w:rsidRPr="00F5457D" w:rsidRDefault="00CB2BCC" w:rsidP="00F16286">
      <w:pPr>
        <w:pStyle w:val="Estilonivel111ptNegritoesquerdaAntes6ptDepoisde"/>
      </w:pPr>
      <w:bookmarkStart w:id="26" w:name="_Toc424033889"/>
      <w:bookmarkStart w:id="27" w:name="_Toc476825334"/>
      <w:r>
        <w:t>SONDAGEM ROTATIVA(SRO)</w:t>
      </w:r>
      <w:bookmarkEnd w:id="26"/>
      <w:bookmarkEnd w:id="27"/>
    </w:p>
    <w:p w14:paraId="1CC9877D" w14:textId="77777777" w:rsidR="00CB2BCC" w:rsidRPr="00CC0901" w:rsidRDefault="00CB2BCC" w:rsidP="00CC0901">
      <w:pPr>
        <w:pStyle w:val="Ttulo2"/>
        <w:rPr>
          <w:rFonts w:cs="Arial"/>
          <w:sz w:val="22"/>
          <w:szCs w:val="22"/>
        </w:rPr>
      </w:pPr>
      <w:r w:rsidRPr="00CC0901">
        <w:rPr>
          <w:rFonts w:cs="Arial"/>
          <w:sz w:val="22"/>
          <w:szCs w:val="22"/>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CC9877E" w14:textId="77777777" w:rsidR="00CB2BCC" w:rsidRDefault="00CB2BCC" w:rsidP="00CC0901">
      <w:pPr>
        <w:pStyle w:val="Ttulo2"/>
        <w:numPr>
          <w:ilvl w:val="0"/>
          <w:numId w:val="0"/>
        </w:numPr>
        <w:ind w:left="1134"/>
        <w:rPr>
          <w:rFonts w:cs="Arial"/>
          <w:sz w:val="22"/>
          <w:szCs w:val="22"/>
        </w:rPr>
      </w:pPr>
    </w:p>
    <w:p w14:paraId="1CC9877F" w14:textId="77777777" w:rsidR="00CB2BCC" w:rsidRDefault="00CB2BCC" w:rsidP="00CC0901">
      <w:pPr>
        <w:pStyle w:val="Ttulo2"/>
        <w:rPr>
          <w:rFonts w:cs="Arial"/>
          <w:sz w:val="22"/>
          <w:szCs w:val="22"/>
        </w:rPr>
      </w:pPr>
      <w:r>
        <w:rPr>
          <w:rFonts w:cs="Arial"/>
          <w:sz w:val="22"/>
          <w:szCs w:val="22"/>
        </w:rPr>
        <w:t>REFERÊNCIA NORMATIVA</w:t>
      </w:r>
    </w:p>
    <w:p w14:paraId="1CC98780" w14:textId="77777777" w:rsidR="00CB2BCC" w:rsidRPr="00CC0901" w:rsidRDefault="00CB2BCC" w:rsidP="00CC0901">
      <w:pPr>
        <w:pStyle w:val="nivel3"/>
        <w:rPr>
          <w:rFonts w:cs="Arial"/>
          <w:sz w:val="22"/>
          <w:szCs w:val="22"/>
        </w:rPr>
      </w:pPr>
      <w:r w:rsidRPr="00CC0901">
        <w:rPr>
          <w:rFonts w:cs="Arial"/>
          <w:sz w:val="22"/>
          <w:szCs w:val="22"/>
        </w:rPr>
        <w:t>ABNT NBR 6490:1985 - Reconhecimento e amostragem para fins de caracterização de ocorrência de rochas;</w:t>
      </w:r>
    </w:p>
    <w:p w14:paraId="1CC98781" w14:textId="77777777" w:rsidR="00CB2BCC" w:rsidRPr="00CC0901" w:rsidRDefault="00CB2BCC" w:rsidP="00CC0901">
      <w:pPr>
        <w:pStyle w:val="nivel3"/>
        <w:rPr>
          <w:rFonts w:cs="Arial"/>
          <w:sz w:val="22"/>
          <w:szCs w:val="22"/>
        </w:rPr>
      </w:pPr>
      <w:r w:rsidRPr="00CC0901">
        <w:rPr>
          <w:rFonts w:cs="Arial"/>
          <w:sz w:val="22"/>
          <w:szCs w:val="22"/>
        </w:rPr>
        <w:t>ABNT NBR 6491:1985 - Reconhecimento e amostragem para fins de caracterização de pedregulho e areia;</w:t>
      </w:r>
    </w:p>
    <w:p w14:paraId="1CC98782" w14:textId="77777777" w:rsidR="00CB2BCC" w:rsidRPr="00CC0901" w:rsidRDefault="00CB2BCC" w:rsidP="00CC0901">
      <w:pPr>
        <w:pStyle w:val="nivel3"/>
        <w:rPr>
          <w:rFonts w:cs="Arial"/>
          <w:sz w:val="22"/>
          <w:szCs w:val="22"/>
        </w:rPr>
      </w:pPr>
      <w:r w:rsidRPr="00CC0901">
        <w:rPr>
          <w:rFonts w:cs="Arial"/>
          <w:sz w:val="22"/>
          <w:szCs w:val="22"/>
        </w:rPr>
        <w:t>ABNT NBR 6502:1995 - Rochas e solos - Terminologia;</w:t>
      </w:r>
    </w:p>
    <w:p w14:paraId="1CC98783" w14:textId="77777777" w:rsidR="00CB2BCC" w:rsidRPr="00CC0901" w:rsidRDefault="00CB2BCC" w:rsidP="00CC0901">
      <w:pPr>
        <w:pStyle w:val="nivel3"/>
        <w:rPr>
          <w:rFonts w:cs="Arial"/>
          <w:sz w:val="22"/>
          <w:szCs w:val="22"/>
        </w:rPr>
      </w:pPr>
      <w:r w:rsidRPr="00CC0901">
        <w:rPr>
          <w:rFonts w:cs="Arial"/>
          <w:sz w:val="22"/>
          <w:szCs w:val="22"/>
        </w:rPr>
        <w:t>ABNT NBR 7181:1988 - Solo - Análise granulométrica - Método de ensaio;</w:t>
      </w:r>
    </w:p>
    <w:p w14:paraId="1CC98784" w14:textId="77777777" w:rsidR="00CB2BCC" w:rsidRPr="00CC0901" w:rsidRDefault="00CB2BCC" w:rsidP="00CC0901">
      <w:pPr>
        <w:pStyle w:val="nivel3"/>
        <w:rPr>
          <w:rFonts w:cs="Arial"/>
          <w:sz w:val="22"/>
          <w:szCs w:val="22"/>
        </w:rPr>
      </w:pPr>
      <w:r w:rsidRPr="00CC0901">
        <w:rPr>
          <w:rFonts w:cs="Arial"/>
          <w:sz w:val="22"/>
          <w:szCs w:val="22"/>
        </w:rPr>
        <w:t>ABNT NBR 8036:1983 - Programação de sondagens de simples reconhecimento dos solos para fundações de edifícios - Procedimento;</w:t>
      </w:r>
    </w:p>
    <w:p w14:paraId="1CC98785" w14:textId="77777777" w:rsidR="00CB2BCC" w:rsidRPr="00CC0901" w:rsidRDefault="00CB2BCC" w:rsidP="00CC0901">
      <w:pPr>
        <w:pStyle w:val="nivel3"/>
        <w:rPr>
          <w:rFonts w:cs="Arial"/>
          <w:sz w:val="22"/>
          <w:szCs w:val="22"/>
        </w:rPr>
      </w:pPr>
      <w:r w:rsidRPr="00CC0901">
        <w:rPr>
          <w:rFonts w:cs="Arial"/>
          <w:sz w:val="22"/>
          <w:szCs w:val="22"/>
        </w:rPr>
        <w:t>ABNT NBR 13441:1995 - Rochas e solos - Simbologia;</w:t>
      </w:r>
    </w:p>
    <w:p w14:paraId="1CC98786" w14:textId="77777777" w:rsidR="00CB2BCC" w:rsidRPr="00CC0901" w:rsidRDefault="00CB2BCC" w:rsidP="00CC0901">
      <w:pPr>
        <w:pStyle w:val="nivel3"/>
        <w:rPr>
          <w:rFonts w:cs="Arial"/>
          <w:sz w:val="22"/>
          <w:szCs w:val="22"/>
        </w:rPr>
      </w:pPr>
      <w:r w:rsidRPr="00CC0901">
        <w:rPr>
          <w:rFonts w:cs="Arial"/>
          <w:sz w:val="22"/>
          <w:szCs w:val="22"/>
        </w:rPr>
        <w:t>ABNT NBR 7678:1983 - Segurança na execução de obras e serviços de construção;</w:t>
      </w:r>
    </w:p>
    <w:p w14:paraId="1CC98787" w14:textId="77777777" w:rsidR="00CB2BCC" w:rsidRPr="00CC0901" w:rsidRDefault="00CB2BCC" w:rsidP="00CC0901">
      <w:pPr>
        <w:pStyle w:val="nivel3"/>
        <w:rPr>
          <w:rFonts w:cs="Arial"/>
          <w:sz w:val="22"/>
          <w:szCs w:val="22"/>
        </w:rPr>
      </w:pPr>
      <w:r w:rsidRPr="00CC0901">
        <w:rPr>
          <w:rFonts w:cs="Arial"/>
          <w:sz w:val="22"/>
          <w:szCs w:val="22"/>
        </w:rPr>
        <w:t>NR 18 - Condições e meio ambiente de trabalho na indústria da construção.</w:t>
      </w:r>
    </w:p>
    <w:p w14:paraId="1CC98788" w14:textId="77777777" w:rsidR="00CB2BCC" w:rsidRPr="00CC0901" w:rsidRDefault="00CB2BCC" w:rsidP="00CC0901"/>
    <w:p w14:paraId="1CC98789" w14:textId="77777777" w:rsidR="00CB2BCC" w:rsidRDefault="00CB2BCC" w:rsidP="00CC0901">
      <w:pPr>
        <w:pStyle w:val="Ttulo2"/>
        <w:rPr>
          <w:rFonts w:cs="Arial"/>
          <w:sz w:val="22"/>
          <w:szCs w:val="22"/>
        </w:rPr>
      </w:pPr>
      <w:r>
        <w:rPr>
          <w:rFonts w:cs="Arial"/>
          <w:sz w:val="22"/>
          <w:szCs w:val="22"/>
        </w:rPr>
        <w:t>EQUIPAMENTOS</w:t>
      </w:r>
    </w:p>
    <w:p w14:paraId="1CC9878A"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Tripé ou equivalente;</w:t>
      </w:r>
    </w:p>
    <w:p w14:paraId="1CC9878B"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Sonda rotativa;</w:t>
      </w:r>
    </w:p>
    <w:p w14:paraId="1CC9878C"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Bomba d’água;</w:t>
      </w:r>
    </w:p>
    <w:p w14:paraId="1CC9878D"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Guincho;</w:t>
      </w:r>
    </w:p>
    <w:p w14:paraId="1CC9878E"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Tubos de revestimentos;</w:t>
      </w:r>
    </w:p>
    <w:p w14:paraId="1CC9878F"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Coroas diamantadas;</w:t>
      </w:r>
    </w:p>
    <w:p w14:paraId="1CC98790"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Luvas alargadoras;</w:t>
      </w:r>
    </w:p>
    <w:p w14:paraId="1CC98791"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Barriletes;</w:t>
      </w:r>
    </w:p>
    <w:p w14:paraId="1CC98792"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Retentores de testemunhos;</w:t>
      </w:r>
    </w:p>
    <w:p w14:paraId="1CC98793"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Obturadores de borracha;</w:t>
      </w:r>
    </w:p>
    <w:p w14:paraId="1CC98794"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Hastes de perfuração.</w:t>
      </w:r>
    </w:p>
    <w:p w14:paraId="1CC98795" w14:textId="77777777" w:rsidR="00CB2BCC" w:rsidRPr="00CC0901" w:rsidRDefault="00CB2BCC" w:rsidP="00CC0901"/>
    <w:p w14:paraId="1CC98796" w14:textId="77777777" w:rsidR="00CB2BCC" w:rsidRDefault="00CB2BCC" w:rsidP="00CC0901">
      <w:pPr>
        <w:pStyle w:val="Ttulo2"/>
        <w:rPr>
          <w:rFonts w:cs="Arial"/>
          <w:sz w:val="22"/>
          <w:szCs w:val="22"/>
        </w:rPr>
      </w:pPr>
      <w:r>
        <w:rPr>
          <w:rFonts w:cs="Arial"/>
          <w:sz w:val="22"/>
          <w:szCs w:val="22"/>
        </w:rPr>
        <w:t>PROCEDIMENTOS GERAIS</w:t>
      </w:r>
    </w:p>
    <w:p w14:paraId="1CC98797" w14:textId="77777777" w:rsidR="00CB2BCC" w:rsidRPr="00122D60" w:rsidRDefault="00CB2BCC" w:rsidP="002F5E52">
      <w:pPr>
        <w:pStyle w:val="nivel3"/>
        <w:rPr>
          <w:rFonts w:cs="Arial"/>
          <w:sz w:val="22"/>
          <w:szCs w:val="22"/>
        </w:rPr>
      </w:pPr>
      <w:r w:rsidRPr="00122D60">
        <w:rPr>
          <w:rFonts w:cs="Arial"/>
          <w:sz w:val="22"/>
          <w:szCs w:val="22"/>
        </w:rPr>
        <w:t>Todos os procedimentos devem estar em acordo com as normas vigentes, obedecendo ainda às premissas para o meio a ser testado.</w:t>
      </w:r>
      <w:r w:rsidRPr="00122D60">
        <w:t xml:space="preserve"> </w:t>
      </w:r>
      <w:r w:rsidRPr="00122D60">
        <w:rPr>
          <w:rFonts w:cs="Arial"/>
          <w:sz w:val="22"/>
          <w:szCs w:val="22"/>
        </w:rPr>
        <w:t>Todos os procedimentos deverão ser realizados por empresa e profissionais especializados.</w:t>
      </w:r>
    </w:p>
    <w:p w14:paraId="1CC98798" w14:textId="77777777" w:rsidR="00CB2BCC" w:rsidRPr="00122D60" w:rsidRDefault="00CB2BCC" w:rsidP="00122D60">
      <w:pPr>
        <w:pStyle w:val="nivel3"/>
        <w:rPr>
          <w:rFonts w:cs="Arial"/>
          <w:sz w:val="22"/>
          <w:szCs w:val="22"/>
        </w:rPr>
      </w:pPr>
      <w:r w:rsidRPr="00122D60">
        <w:rPr>
          <w:rFonts w:cs="Arial"/>
          <w:sz w:val="22"/>
          <w:szCs w:val="22"/>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CC98799" w14:textId="77777777" w:rsidR="00CB2BCC" w:rsidRPr="00122D60" w:rsidRDefault="00CB2BCC" w:rsidP="00122D60">
      <w:pPr>
        <w:pStyle w:val="nivel3"/>
        <w:rPr>
          <w:rFonts w:cs="Arial"/>
          <w:sz w:val="22"/>
          <w:szCs w:val="22"/>
        </w:rPr>
      </w:pPr>
      <w:r w:rsidRPr="00122D60">
        <w:rPr>
          <w:rFonts w:cs="Arial"/>
          <w:sz w:val="22"/>
          <w:szCs w:val="22"/>
        </w:rPr>
        <w:t>Em terreno alagado ou coberto por lâmina d’água de grande espessura, a sondagem deve ser realizada a partir de plataforma flutuante fortemente ancorada, totalmente assoalhada, que cubra no mínimo a área delimitada pelos pontos de apoio do tripé.</w:t>
      </w:r>
    </w:p>
    <w:p w14:paraId="1CC9879A" w14:textId="77777777" w:rsidR="00CB2BCC" w:rsidRPr="00122D60" w:rsidRDefault="00CB2BCC" w:rsidP="00122D60">
      <w:pPr>
        <w:pStyle w:val="nivel3"/>
        <w:rPr>
          <w:rFonts w:cs="Arial"/>
          <w:sz w:val="22"/>
          <w:szCs w:val="22"/>
        </w:rPr>
      </w:pPr>
      <w:r w:rsidRPr="00122D60">
        <w:rPr>
          <w:rFonts w:cs="Arial"/>
          <w:sz w:val="22"/>
          <w:szCs w:val="22"/>
        </w:rPr>
        <w:t>Devem ser empregados todos os recursos da sondagem rotativa, tais como perfuração cuidadosa, manobras curtas, coroas e barriletes especiais, lama bentonítica e outros, garantindo a boa recuperação de todos os materiais atravessados.</w:t>
      </w:r>
    </w:p>
    <w:p w14:paraId="1CC9879B" w14:textId="77777777" w:rsidR="00CB2BCC" w:rsidRDefault="00CB2BCC" w:rsidP="00122D60">
      <w:pPr>
        <w:pStyle w:val="nivel3"/>
        <w:rPr>
          <w:rFonts w:cs="Arial"/>
          <w:sz w:val="22"/>
          <w:szCs w:val="22"/>
        </w:rPr>
      </w:pPr>
      <w:r w:rsidRPr="00122D60">
        <w:rPr>
          <w:rFonts w:cs="Arial"/>
          <w:sz w:val="22"/>
          <w:szCs w:val="22"/>
        </w:rPr>
        <w:t xml:space="preserve">Devem ser atendidas as dimensões das hastes e revestimentos especificados nas Tabelas </w:t>
      </w:r>
      <w:r>
        <w:rPr>
          <w:rFonts w:cs="Arial"/>
          <w:sz w:val="22"/>
          <w:szCs w:val="22"/>
        </w:rPr>
        <w:t>B 4</w:t>
      </w:r>
      <w:r w:rsidRPr="00122D60">
        <w:rPr>
          <w:rFonts w:cs="Arial"/>
          <w:sz w:val="22"/>
          <w:szCs w:val="22"/>
        </w:rPr>
        <w:t xml:space="preserve">, </w:t>
      </w:r>
      <w:r>
        <w:rPr>
          <w:rFonts w:cs="Arial"/>
          <w:sz w:val="22"/>
          <w:szCs w:val="22"/>
        </w:rPr>
        <w:t xml:space="preserve">B 5 </w:t>
      </w:r>
      <w:r w:rsidRPr="00122D60">
        <w:rPr>
          <w:rFonts w:cs="Arial"/>
          <w:sz w:val="22"/>
          <w:szCs w:val="22"/>
        </w:rPr>
        <w:t xml:space="preserve">e </w:t>
      </w:r>
      <w:r>
        <w:rPr>
          <w:rFonts w:cs="Arial"/>
          <w:sz w:val="22"/>
          <w:szCs w:val="22"/>
        </w:rPr>
        <w:t>B 6</w:t>
      </w:r>
      <w:r w:rsidRPr="00122D60">
        <w:rPr>
          <w:rFonts w:cs="Arial"/>
          <w:sz w:val="22"/>
          <w:szCs w:val="22"/>
        </w:rPr>
        <w:t>.</w:t>
      </w:r>
    </w:p>
    <w:p w14:paraId="1CC9879C" w14:textId="77777777" w:rsidR="00CB2BCC" w:rsidRDefault="00CB2BCC" w:rsidP="003050D1">
      <w:pPr>
        <w:pStyle w:val="Legenda"/>
        <w:keepNext/>
        <w:jc w:val="center"/>
      </w:pPr>
      <w:bookmarkStart w:id="28" w:name="_Toc424033678"/>
      <w:r>
        <w:t xml:space="preserve">Tabela B </w:t>
      </w:r>
      <w:fldSimple w:instr=" SEQ Tabela_B \* ARABIC ">
        <w:r>
          <w:rPr>
            <w:noProof/>
          </w:rPr>
          <w:t>4</w:t>
        </w:r>
      </w:fldSimple>
      <w:r>
        <w:t xml:space="preserve"> - Dimensões Padronizadas de Hastes - W</w:t>
      </w:r>
      <w:bookmarkEnd w:id="28"/>
    </w:p>
    <w:tbl>
      <w:tblPr>
        <w:tblW w:w="5638" w:type="dxa"/>
        <w:jc w:val="center"/>
        <w:tblCellMar>
          <w:left w:w="70" w:type="dxa"/>
          <w:right w:w="70" w:type="dxa"/>
        </w:tblCellMar>
        <w:tblLook w:val="00A0" w:firstRow="1" w:lastRow="0" w:firstColumn="1" w:lastColumn="0" w:noHBand="0" w:noVBand="0"/>
      </w:tblPr>
      <w:tblGrid>
        <w:gridCol w:w="1600"/>
        <w:gridCol w:w="1503"/>
        <w:gridCol w:w="1134"/>
        <w:gridCol w:w="1401"/>
      </w:tblGrid>
      <w:tr w:rsidR="00CB2BCC" w:rsidRPr="00C877C2" w14:paraId="1CC987A1"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CC9879D" w14:textId="77777777" w:rsidR="00CB2BCC" w:rsidRPr="00C877C2" w:rsidRDefault="00CB2BCC" w:rsidP="000035EA">
            <w:pPr>
              <w:rPr>
                <w:rFonts w:ascii="Calibri" w:hAnsi="Calibri"/>
                <w:color w:val="000000"/>
              </w:rPr>
            </w:pPr>
            <w:r w:rsidRPr="00C877C2">
              <w:rPr>
                <w:rFonts w:ascii="Calibri" w:hAnsi="Calibri"/>
                <w:color w:val="000000"/>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1CC9879E" w14:textId="77777777" w:rsidR="00CB2BCC" w:rsidRPr="00C877C2" w:rsidRDefault="00CB2BCC" w:rsidP="000035EA">
            <w:pPr>
              <w:rPr>
                <w:rFonts w:ascii="Calibri" w:hAnsi="Calibri"/>
                <w:color w:val="000000"/>
              </w:rPr>
            </w:pPr>
            <w:proofErr w:type="gramStart"/>
            <w:r w:rsidRPr="00C877C2">
              <w:rPr>
                <w:rFonts w:ascii="Calibri" w:hAnsi="Calibri"/>
                <w:color w:val="000000"/>
                <w:szCs w:val="22"/>
              </w:rPr>
              <w:t>Ø  EXTERNO</w:t>
            </w:r>
            <w:proofErr w:type="gramEnd"/>
          </w:p>
        </w:tc>
        <w:tc>
          <w:tcPr>
            <w:tcW w:w="1134" w:type="dxa"/>
            <w:tcBorders>
              <w:top w:val="single" w:sz="4" w:space="0" w:color="auto"/>
              <w:left w:val="nil"/>
              <w:bottom w:val="single" w:sz="4" w:space="0" w:color="auto"/>
              <w:right w:val="single" w:sz="4" w:space="0" w:color="auto"/>
            </w:tcBorders>
            <w:noWrap/>
            <w:vAlign w:val="bottom"/>
          </w:tcPr>
          <w:p w14:paraId="1CC9879F" w14:textId="77777777" w:rsidR="00CB2BCC" w:rsidRPr="00C877C2" w:rsidRDefault="00CB2BCC" w:rsidP="000035EA">
            <w:pPr>
              <w:rPr>
                <w:rFonts w:ascii="Calibri" w:hAnsi="Calibri"/>
                <w:color w:val="000000"/>
              </w:rPr>
            </w:pPr>
            <w:proofErr w:type="gramStart"/>
            <w:r w:rsidRPr="00C877C2">
              <w:rPr>
                <w:rFonts w:ascii="Calibri" w:hAnsi="Calibri"/>
                <w:color w:val="000000"/>
                <w:szCs w:val="22"/>
              </w:rPr>
              <w:t>Ø  INTERNO</w:t>
            </w:r>
            <w:proofErr w:type="gramEnd"/>
          </w:p>
        </w:tc>
        <w:tc>
          <w:tcPr>
            <w:tcW w:w="1401" w:type="dxa"/>
            <w:tcBorders>
              <w:top w:val="single" w:sz="4" w:space="0" w:color="auto"/>
              <w:left w:val="nil"/>
              <w:bottom w:val="single" w:sz="4" w:space="0" w:color="auto"/>
              <w:right w:val="single" w:sz="4" w:space="0" w:color="auto"/>
            </w:tcBorders>
            <w:noWrap/>
            <w:vAlign w:val="bottom"/>
          </w:tcPr>
          <w:p w14:paraId="1CC987A0" w14:textId="77777777" w:rsidR="00CB2BCC" w:rsidRPr="00C877C2" w:rsidRDefault="00CB2BCC" w:rsidP="000035EA">
            <w:pPr>
              <w:rPr>
                <w:rFonts w:ascii="Calibri" w:hAnsi="Calibri"/>
                <w:color w:val="000000"/>
              </w:rPr>
            </w:pPr>
            <w:proofErr w:type="gramStart"/>
            <w:r w:rsidRPr="00C877C2">
              <w:rPr>
                <w:rFonts w:ascii="Calibri" w:hAnsi="Calibri"/>
                <w:color w:val="000000"/>
                <w:szCs w:val="22"/>
              </w:rPr>
              <w:t>Ø  INT.</w:t>
            </w:r>
            <w:proofErr w:type="gramEnd"/>
            <w:r w:rsidRPr="00C877C2">
              <w:rPr>
                <w:rFonts w:ascii="Calibri" w:hAnsi="Calibri"/>
                <w:color w:val="000000"/>
                <w:szCs w:val="22"/>
              </w:rPr>
              <w:t xml:space="preserve">  NIPLE</w:t>
            </w:r>
          </w:p>
        </w:tc>
      </w:tr>
      <w:tr w:rsidR="00CB2BCC" w:rsidRPr="00C877C2" w14:paraId="1CC987A6"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A2" w14:textId="77777777" w:rsidR="00CB2BCC" w:rsidRPr="00C877C2" w:rsidRDefault="00CB2BCC" w:rsidP="000035EA">
            <w:pPr>
              <w:jc w:val="center"/>
              <w:rPr>
                <w:rFonts w:ascii="Calibri" w:hAnsi="Calibri"/>
                <w:color w:val="000000"/>
              </w:rPr>
            </w:pPr>
            <w:r w:rsidRPr="00C877C2">
              <w:rPr>
                <w:rFonts w:ascii="Calibri" w:hAnsi="Calibri"/>
                <w:color w:val="000000"/>
                <w:szCs w:val="22"/>
              </w:rPr>
              <w:t>EW</w:t>
            </w:r>
          </w:p>
        </w:tc>
        <w:tc>
          <w:tcPr>
            <w:tcW w:w="1503" w:type="dxa"/>
            <w:tcBorders>
              <w:top w:val="nil"/>
              <w:left w:val="nil"/>
              <w:bottom w:val="single" w:sz="4" w:space="0" w:color="auto"/>
              <w:right w:val="single" w:sz="4" w:space="0" w:color="auto"/>
            </w:tcBorders>
            <w:noWrap/>
            <w:vAlign w:val="bottom"/>
          </w:tcPr>
          <w:p w14:paraId="1CC987A3" w14:textId="77777777" w:rsidR="00CB2BCC" w:rsidRPr="00C877C2" w:rsidRDefault="00CB2BCC" w:rsidP="000035EA">
            <w:pPr>
              <w:jc w:val="center"/>
              <w:rPr>
                <w:rFonts w:ascii="Calibri" w:hAnsi="Calibri"/>
                <w:color w:val="000000"/>
              </w:rPr>
            </w:pPr>
            <w:r w:rsidRPr="00C877C2">
              <w:rPr>
                <w:rFonts w:ascii="Calibri" w:hAnsi="Calibri"/>
                <w:color w:val="000000"/>
                <w:szCs w:val="22"/>
              </w:rPr>
              <w:t>34,9</w:t>
            </w:r>
          </w:p>
        </w:tc>
        <w:tc>
          <w:tcPr>
            <w:tcW w:w="1134" w:type="dxa"/>
            <w:tcBorders>
              <w:top w:val="nil"/>
              <w:left w:val="nil"/>
              <w:bottom w:val="single" w:sz="4" w:space="0" w:color="auto"/>
              <w:right w:val="single" w:sz="4" w:space="0" w:color="auto"/>
            </w:tcBorders>
            <w:noWrap/>
            <w:vAlign w:val="bottom"/>
          </w:tcPr>
          <w:p w14:paraId="1CC987A4" w14:textId="77777777" w:rsidR="00CB2BCC" w:rsidRPr="00C877C2" w:rsidRDefault="00CB2BCC" w:rsidP="000035EA">
            <w:pPr>
              <w:jc w:val="center"/>
              <w:rPr>
                <w:rFonts w:ascii="Calibri" w:hAnsi="Calibri"/>
                <w:color w:val="000000"/>
              </w:rPr>
            </w:pPr>
            <w:r w:rsidRPr="00C877C2">
              <w:rPr>
                <w:rFonts w:ascii="Calibri" w:hAnsi="Calibri"/>
                <w:color w:val="000000"/>
                <w:szCs w:val="22"/>
              </w:rPr>
              <w:t>23</w:t>
            </w:r>
          </w:p>
        </w:tc>
        <w:tc>
          <w:tcPr>
            <w:tcW w:w="1401" w:type="dxa"/>
            <w:tcBorders>
              <w:top w:val="nil"/>
              <w:left w:val="nil"/>
              <w:bottom w:val="single" w:sz="4" w:space="0" w:color="auto"/>
              <w:right w:val="single" w:sz="4" w:space="0" w:color="auto"/>
            </w:tcBorders>
            <w:noWrap/>
            <w:vAlign w:val="bottom"/>
          </w:tcPr>
          <w:p w14:paraId="1CC987A5" w14:textId="77777777" w:rsidR="00CB2BCC" w:rsidRPr="00C877C2" w:rsidRDefault="00CB2BCC" w:rsidP="000035EA">
            <w:pPr>
              <w:jc w:val="center"/>
              <w:rPr>
                <w:rFonts w:ascii="Calibri" w:hAnsi="Calibri"/>
                <w:color w:val="000000"/>
              </w:rPr>
            </w:pPr>
            <w:r w:rsidRPr="00C877C2">
              <w:rPr>
                <w:rFonts w:ascii="Calibri" w:hAnsi="Calibri"/>
                <w:color w:val="000000"/>
                <w:szCs w:val="22"/>
              </w:rPr>
              <w:t>11,1</w:t>
            </w:r>
          </w:p>
        </w:tc>
      </w:tr>
      <w:tr w:rsidR="00CB2BCC" w:rsidRPr="00C877C2" w14:paraId="1CC987AB"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A7" w14:textId="77777777" w:rsidR="00CB2BCC" w:rsidRPr="00C877C2" w:rsidRDefault="00CB2BCC" w:rsidP="000035EA">
            <w:pPr>
              <w:jc w:val="center"/>
              <w:rPr>
                <w:rFonts w:ascii="Calibri" w:hAnsi="Calibri"/>
                <w:color w:val="000000"/>
              </w:rPr>
            </w:pPr>
            <w:r w:rsidRPr="00C877C2">
              <w:rPr>
                <w:rFonts w:ascii="Calibri" w:hAnsi="Calibri"/>
                <w:color w:val="000000"/>
                <w:szCs w:val="22"/>
              </w:rPr>
              <w:t>AW</w:t>
            </w:r>
          </w:p>
        </w:tc>
        <w:tc>
          <w:tcPr>
            <w:tcW w:w="1503" w:type="dxa"/>
            <w:tcBorders>
              <w:top w:val="nil"/>
              <w:left w:val="nil"/>
              <w:bottom w:val="single" w:sz="4" w:space="0" w:color="auto"/>
              <w:right w:val="single" w:sz="4" w:space="0" w:color="auto"/>
            </w:tcBorders>
            <w:noWrap/>
            <w:vAlign w:val="bottom"/>
          </w:tcPr>
          <w:p w14:paraId="1CC987A8" w14:textId="77777777" w:rsidR="00CB2BCC" w:rsidRPr="00C877C2" w:rsidRDefault="00CB2BCC" w:rsidP="000035EA">
            <w:pPr>
              <w:jc w:val="center"/>
              <w:rPr>
                <w:rFonts w:ascii="Calibri" w:hAnsi="Calibri"/>
                <w:color w:val="000000"/>
              </w:rPr>
            </w:pPr>
            <w:r w:rsidRPr="00C877C2">
              <w:rPr>
                <w:rFonts w:ascii="Calibri" w:hAnsi="Calibri"/>
                <w:color w:val="000000"/>
                <w:szCs w:val="22"/>
              </w:rPr>
              <w:t>44,4</w:t>
            </w:r>
          </w:p>
        </w:tc>
        <w:tc>
          <w:tcPr>
            <w:tcW w:w="1134" w:type="dxa"/>
            <w:tcBorders>
              <w:top w:val="nil"/>
              <w:left w:val="nil"/>
              <w:bottom w:val="single" w:sz="4" w:space="0" w:color="auto"/>
              <w:right w:val="single" w:sz="4" w:space="0" w:color="auto"/>
            </w:tcBorders>
            <w:noWrap/>
            <w:vAlign w:val="bottom"/>
          </w:tcPr>
          <w:p w14:paraId="1CC987A9" w14:textId="77777777" w:rsidR="00CB2BCC" w:rsidRPr="00C877C2" w:rsidRDefault="00CB2BCC" w:rsidP="000035EA">
            <w:pPr>
              <w:jc w:val="center"/>
              <w:rPr>
                <w:rFonts w:ascii="Calibri" w:hAnsi="Calibri"/>
                <w:color w:val="000000"/>
              </w:rPr>
            </w:pPr>
            <w:r w:rsidRPr="00C877C2">
              <w:rPr>
                <w:rFonts w:ascii="Calibri" w:hAnsi="Calibri"/>
                <w:color w:val="000000"/>
                <w:szCs w:val="22"/>
              </w:rPr>
              <w:t>31,5</w:t>
            </w:r>
          </w:p>
        </w:tc>
        <w:tc>
          <w:tcPr>
            <w:tcW w:w="1401" w:type="dxa"/>
            <w:tcBorders>
              <w:top w:val="nil"/>
              <w:left w:val="nil"/>
              <w:bottom w:val="single" w:sz="4" w:space="0" w:color="auto"/>
              <w:right w:val="single" w:sz="4" w:space="0" w:color="auto"/>
            </w:tcBorders>
            <w:noWrap/>
            <w:vAlign w:val="bottom"/>
          </w:tcPr>
          <w:p w14:paraId="1CC987AA" w14:textId="77777777" w:rsidR="00CB2BCC" w:rsidRPr="00C877C2" w:rsidRDefault="00CB2BCC" w:rsidP="000035EA">
            <w:pPr>
              <w:jc w:val="center"/>
              <w:rPr>
                <w:rFonts w:ascii="Calibri" w:hAnsi="Calibri"/>
                <w:color w:val="000000"/>
              </w:rPr>
            </w:pPr>
            <w:r w:rsidRPr="00C877C2">
              <w:rPr>
                <w:rFonts w:ascii="Calibri" w:hAnsi="Calibri"/>
                <w:color w:val="000000"/>
                <w:szCs w:val="22"/>
              </w:rPr>
              <w:t>15,9</w:t>
            </w:r>
          </w:p>
        </w:tc>
      </w:tr>
      <w:tr w:rsidR="00CB2BCC" w:rsidRPr="00C877C2" w14:paraId="1CC987B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AC" w14:textId="77777777" w:rsidR="00CB2BCC" w:rsidRPr="00C877C2" w:rsidRDefault="00CB2BCC" w:rsidP="000035EA">
            <w:pPr>
              <w:jc w:val="center"/>
              <w:rPr>
                <w:rFonts w:ascii="Calibri" w:hAnsi="Calibri"/>
                <w:color w:val="000000"/>
              </w:rPr>
            </w:pPr>
            <w:r w:rsidRPr="00C877C2">
              <w:rPr>
                <w:rFonts w:ascii="Calibri" w:hAnsi="Calibri"/>
                <w:color w:val="000000"/>
                <w:szCs w:val="22"/>
              </w:rPr>
              <w:t>BW</w:t>
            </w:r>
          </w:p>
        </w:tc>
        <w:tc>
          <w:tcPr>
            <w:tcW w:w="1503" w:type="dxa"/>
            <w:tcBorders>
              <w:top w:val="nil"/>
              <w:left w:val="nil"/>
              <w:bottom w:val="single" w:sz="4" w:space="0" w:color="auto"/>
              <w:right w:val="single" w:sz="4" w:space="0" w:color="auto"/>
            </w:tcBorders>
            <w:noWrap/>
            <w:vAlign w:val="bottom"/>
          </w:tcPr>
          <w:p w14:paraId="1CC987AD" w14:textId="77777777" w:rsidR="00CB2BCC" w:rsidRPr="00C877C2" w:rsidRDefault="00CB2BCC" w:rsidP="000035EA">
            <w:pPr>
              <w:jc w:val="center"/>
              <w:rPr>
                <w:rFonts w:ascii="Calibri" w:hAnsi="Calibri"/>
                <w:color w:val="000000"/>
              </w:rPr>
            </w:pPr>
            <w:r w:rsidRPr="00C877C2">
              <w:rPr>
                <w:rFonts w:ascii="Calibri" w:hAnsi="Calibri"/>
                <w:color w:val="000000"/>
                <w:szCs w:val="22"/>
              </w:rPr>
              <w:t>53,9</w:t>
            </w:r>
          </w:p>
        </w:tc>
        <w:tc>
          <w:tcPr>
            <w:tcW w:w="1134" w:type="dxa"/>
            <w:tcBorders>
              <w:top w:val="nil"/>
              <w:left w:val="nil"/>
              <w:bottom w:val="single" w:sz="4" w:space="0" w:color="auto"/>
              <w:right w:val="single" w:sz="4" w:space="0" w:color="auto"/>
            </w:tcBorders>
            <w:noWrap/>
            <w:vAlign w:val="bottom"/>
          </w:tcPr>
          <w:p w14:paraId="1CC987AE" w14:textId="77777777" w:rsidR="00CB2BCC" w:rsidRPr="00C877C2" w:rsidRDefault="00CB2BCC" w:rsidP="000035EA">
            <w:pPr>
              <w:jc w:val="center"/>
              <w:rPr>
                <w:rFonts w:ascii="Calibri" w:hAnsi="Calibri"/>
                <w:color w:val="000000"/>
              </w:rPr>
            </w:pPr>
            <w:r w:rsidRPr="00C877C2">
              <w:rPr>
                <w:rFonts w:ascii="Calibri" w:hAnsi="Calibri"/>
                <w:color w:val="000000"/>
                <w:szCs w:val="22"/>
              </w:rPr>
              <w:t>42,8</w:t>
            </w:r>
          </w:p>
        </w:tc>
        <w:tc>
          <w:tcPr>
            <w:tcW w:w="1401" w:type="dxa"/>
            <w:tcBorders>
              <w:top w:val="nil"/>
              <w:left w:val="nil"/>
              <w:bottom w:val="single" w:sz="4" w:space="0" w:color="auto"/>
              <w:right w:val="single" w:sz="4" w:space="0" w:color="auto"/>
            </w:tcBorders>
            <w:noWrap/>
            <w:vAlign w:val="bottom"/>
          </w:tcPr>
          <w:p w14:paraId="1CC987AF" w14:textId="77777777" w:rsidR="00CB2BCC" w:rsidRPr="00C877C2" w:rsidRDefault="00CB2BCC" w:rsidP="000035EA">
            <w:pPr>
              <w:jc w:val="center"/>
              <w:rPr>
                <w:rFonts w:ascii="Calibri" w:hAnsi="Calibri"/>
                <w:color w:val="000000"/>
              </w:rPr>
            </w:pPr>
            <w:r w:rsidRPr="00C877C2">
              <w:rPr>
                <w:rFonts w:ascii="Calibri" w:hAnsi="Calibri"/>
                <w:color w:val="000000"/>
                <w:szCs w:val="22"/>
              </w:rPr>
              <w:t>19</w:t>
            </w:r>
          </w:p>
        </w:tc>
      </w:tr>
      <w:tr w:rsidR="00CB2BCC" w:rsidRPr="00C877C2" w14:paraId="1CC987B5"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B1" w14:textId="77777777" w:rsidR="00CB2BCC" w:rsidRPr="00C877C2" w:rsidRDefault="00CB2BCC" w:rsidP="000035EA">
            <w:pPr>
              <w:jc w:val="center"/>
              <w:rPr>
                <w:rFonts w:ascii="Calibri" w:hAnsi="Calibri"/>
                <w:color w:val="000000"/>
              </w:rPr>
            </w:pPr>
            <w:r w:rsidRPr="00C877C2">
              <w:rPr>
                <w:rFonts w:ascii="Calibri" w:hAnsi="Calibri"/>
                <w:color w:val="000000"/>
                <w:szCs w:val="22"/>
              </w:rPr>
              <w:t>NW</w:t>
            </w:r>
          </w:p>
        </w:tc>
        <w:tc>
          <w:tcPr>
            <w:tcW w:w="1503" w:type="dxa"/>
            <w:tcBorders>
              <w:top w:val="nil"/>
              <w:left w:val="nil"/>
              <w:bottom w:val="single" w:sz="4" w:space="0" w:color="auto"/>
              <w:right w:val="single" w:sz="4" w:space="0" w:color="auto"/>
            </w:tcBorders>
            <w:noWrap/>
            <w:vAlign w:val="bottom"/>
          </w:tcPr>
          <w:p w14:paraId="1CC987B2" w14:textId="77777777" w:rsidR="00CB2BCC" w:rsidRPr="00C877C2" w:rsidRDefault="00CB2BCC" w:rsidP="000035EA">
            <w:pPr>
              <w:jc w:val="center"/>
              <w:rPr>
                <w:rFonts w:ascii="Calibri" w:hAnsi="Calibri"/>
                <w:color w:val="000000"/>
              </w:rPr>
            </w:pPr>
            <w:r w:rsidRPr="00C877C2">
              <w:rPr>
                <w:rFonts w:ascii="Calibri" w:hAnsi="Calibri"/>
                <w:color w:val="000000"/>
                <w:szCs w:val="22"/>
              </w:rPr>
              <w:t>66,7</w:t>
            </w:r>
          </w:p>
        </w:tc>
        <w:tc>
          <w:tcPr>
            <w:tcW w:w="1134" w:type="dxa"/>
            <w:tcBorders>
              <w:top w:val="nil"/>
              <w:left w:val="nil"/>
              <w:bottom w:val="single" w:sz="4" w:space="0" w:color="auto"/>
              <w:right w:val="single" w:sz="4" w:space="0" w:color="auto"/>
            </w:tcBorders>
            <w:noWrap/>
            <w:vAlign w:val="bottom"/>
          </w:tcPr>
          <w:p w14:paraId="1CC987B3" w14:textId="77777777" w:rsidR="00CB2BCC" w:rsidRPr="00C877C2" w:rsidRDefault="00CB2BCC" w:rsidP="000035EA">
            <w:pPr>
              <w:jc w:val="center"/>
              <w:rPr>
                <w:rFonts w:ascii="Calibri" w:hAnsi="Calibri"/>
                <w:color w:val="000000"/>
              </w:rPr>
            </w:pPr>
            <w:r w:rsidRPr="00C877C2">
              <w:rPr>
                <w:rFonts w:ascii="Calibri" w:hAnsi="Calibri"/>
                <w:color w:val="000000"/>
                <w:szCs w:val="22"/>
              </w:rPr>
              <w:t>57,1</w:t>
            </w:r>
          </w:p>
        </w:tc>
        <w:tc>
          <w:tcPr>
            <w:tcW w:w="1401" w:type="dxa"/>
            <w:tcBorders>
              <w:top w:val="nil"/>
              <w:left w:val="nil"/>
              <w:bottom w:val="single" w:sz="4" w:space="0" w:color="auto"/>
              <w:right w:val="single" w:sz="4" w:space="0" w:color="auto"/>
            </w:tcBorders>
            <w:noWrap/>
            <w:vAlign w:val="bottom"/>
          </w:tcPr>
          <w:p w14:paraId="1CC987B4" w14:textId="77777777" w:rsidR="00CB2BCC" w:rsidRPr="00C877C2" w:rsidRDefault="00CB2BCC" w:rsidP="000035EA">
            <w:pPr>
              <w:jc w:val="center"/>
              <w:rPr>
                <w:rFonts w:ascii="Calibri" w:hAnsi="Calibri"/>
                <w:color w:val="000000"/>
              </w:rPr>
            </w:pPr>
            <w:r w:rsidRPr="00C877C2">
              <w:rPr>
                <w:rFonts w:ascii="Calibri" w:hAnsi="Calibri"/>
                <w:color w:val="000000"/>
                <w:szCs w:val="22"/>
              </w:rPr>
              <w:t>34,9</w:t>
            </w:r>
          </w:p>
        </w:tc>
      </w:tr>
      <w:tr w:rsidR="00CB2BCC" w:rsidRPr="00C877C2" w14:paraId="1CC987BA"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B6" w14:textId="77777777" w:rsidR="00CB2BCC" w:rsidRPr="00C877C2" w:rsidRDefault="00CB2BCC" w:rsidP="000035EA">
            <w:pPr>
              <w:jc w:val="center"/>
              <w:rPr>
                <w:rFonts w:ascii="Calibri" w:hAnsi="Calibri"/>
                <w:color w:val="000000"/>
              </w:rPr>
            </w:pPr>
            <w:r w:rsidRPr="00C877C2">
              <w:rPr>
                <w:rFonts w:ascii="Calibri" w:hAnsi="Calibri"/>
                <w:color w:val="000000"/>
                <w:szCs w:val="22"/>
              </w:rPr>
              <w:t>HW</w:t>
            </w:r>
          </w:p>
        </w:tc>
        <w:tc>
          <w:tcPr>
            <w:tcW w:w="1503" w:type="dxa"/>
            <w:tcBorders>
              <w:top w:val="nil"/>
              <w:left w:val="nil"/>
              <w:bottom w:val="single" w:sz="4" w:space="0" w:color="auto"/>
              <w:right w:val="single" w:sz="4" w:space="0" w:color="auto"/>
            </w:tcBorders>
            <w:noWrap/>
            <w:vAlign w:val="bottom"/>
          </w:tcPr>
          <w:p w14:paraId="1CC987B7" w14:textId="77777777" w:rsidR="00CB2BCC" w:rsidRPr="00C877C2" w:rsidRDefault="00CB2BCC" w:rsidP="000035EA">
            <w:pPr>
              <w:jc w:val="center"/>
              <w:rPr>
                <w:rFonts w:ascii="Calibri" w:hAnsi="Calibri"/>
                <w:color w:val="000000"/>
              </w:rPr>
            </w:pPr>
            <w:r w:rsidRPr="00C877C2">
              <w:rPr>
                <w:rFonts w:ascii="Calibri" w:hAnsi="Calibri"/>
                <w:color w:val="000000"/>
                <w:szCs w:val="22"/>
              </w:rPr>
              <w:t>88,9</w:t>
            </w:r>
          </w:p>
        </w:tc>
        <w:tc>
          <w:tcPr>
            <w:tcW w:w="1134" w:type="dxa"/>
            <w:tcBorders>
              <w:top w:val="nil"/>
              <w:left w:val="nil"/>
              <w:bottom w:val="single" w:sz="4" w:space="0" w:color="auto"/>
              <w:right w:val="single" w:sz="4" w:space="0" w:color="auto"/>
            </w:tcBorders>
            <w:noWrap/>
            <w:vAlign w:val="bottom"/>
          </w:tcPr>
          <w:p w14:paraId="1CC987B8" w14:textId="77777777" w:rsidR="00CB2BCC" w:rsidRPr="00C877C2" w:rsidRDefault="00CB2BCC" w:rsidP="000035EA">
            <w:pPr>
              <w:jc w:val="center"/>
              <w:rPr>
                <w:rFonts w:ascii="Calibri" w:hAnsi="Calibri"/>
                <w:color w:val="000000"/>
              </w:rPr>
            </w:pPr>
            <w:r w:rsidRPr="00C877C2">
              <w:rPr>
                <w:rFonts w:ascii="Calibri" w:hAnsi="Calibri"/>
                <w:color w:val="000000"/>
                <w:szCs w:val="22"/>
              </w:rPr>
              <w:t>77,7</w:t>
            </w:r>
          </w:p>
        </w:tc>
        <w:tc>
          <w:tcPr>
            <w:tcW w:w="1401" w:type="dxa"/>
            <w:tcBorders>
              <w:top w:val="nil"/>
              <w:left w:val="nil"/>
              <w:bottom w:val="single" w:sz="4" w:space="0" w:color="auto"/>
              <w:right w:val="single" w:sz="4" w:space="0" w:color="auto"/>
            </w:tcBorders>
            <w:noWrap/>
            <w:vAlign w:val="bottom"/>
          </w:tcPr>
          <w:p w14:paraId="1CC987B9" w14:textId="77777777" w:rsidR="00CB2BCC" w:rsidRPr="00C877C2" w:rsidRDefault="00CB2BCC" w:rsidP="000035EA">
            <w:pPr>
              <w:jc w:val="center"/>
              <w:rPr>
                <w:rFonts w:ascii="Calibri" w:hAnsi="Calibri"/>
                <w:color w:val="000000"/>
              </w:rPr>
            </w:pPr>
            <w:r w:rsidRPr="00C877C2">
              <w:rPr>
                <w:rFonts w:ascii="Calibri" w:hAnsi="Calibri"/>
                <w:color w:val="000000"/>
                <w:szCs w:val="22"/>
              </w:rPr>
              <w:t>60,3</w:t>
            </w:r>
          </w:p>
        </w:tc>
      </w:tr>
    </w:tbl>
    <w:p w14:paraId="1CC987BB" w14:textId="77777777" w:rsidR="00CB2BCC" w:rsidRPr="00C877C2" w:rsidRDefault="00CB2BCC" w:rsidP="00122D60">
      <w:pPr>
        <w:pStyle w:val="nivel1"/>
        <w:numPr>
          <w:ilvl w:val="0"/>
          <w:numId w:val="0"/>
        </w:numPr>
        <w:ind w:left="1134"/>
      </w:pPr>
    </w:p>
    <w:p w14:paraId="1CC987BC" w14:textId="77777777" w:rsidR="00CB2BCC" w:rsidRPr="00C877C2" w:rsidRDefault="00CB2BCC" w:rsidP="003050D1">
      <w:pPr>
        <w:pStyle w:val="Legenda"/>
        <w:keepNext/>
        <w:jc w:val="center"/>
      </w:pPr>
      <w:bookmarkStart w:id="29" w:name="_Toc424033679"/>
      <w:r w:rsidRPr="00C877C2">
        <w:t xml:space="preserve">Tabela B </w:t>
      </w:r>
      <w:fldSimple w:instr=" SEQ Tabela_B \* ARABIC ">
        <w:r w:rsidRPr="00C877C2">
          <w:rPr>
            <w:noProof/>
          </w:rPr>
          <w:t>5</w:t>
        </w:r>
      </w:fldSimple>
      <w:r w:rsidRPr="00C877C2">
        <w:t xml:space="preserve"> - Dimensões Padronizadas de Revestimentos - grupo W - junção lisa direta</w:t>
      </w:r>
      <w:bookmarkEnd w:id="29"/>
    </w:p>
    <w:tbl>
      <w:tblPr>
        <w:tblW w:w="4269" w:type="dxa"/>
        <w:jc w:val="center"/>
        <w:tblCellMar>
          <w:left w:w="70" w:type="dxa"/>
          <w:right w:w="70" w:type="dxa"/>
        </w:tblCellMar>
        <w:tblLook w:val="00A0" w:firstRow="1" w:lastRow="0" w:firstColumn="1" w:lastColumn="0" w:noHBand="0" w:noVBand="0"/>
      </w:tblPr>
      <w:tblGrid>
        <w:gridCol w:w="1600"/>
        <w:gridCol w:w="1251"/>
        <w:gridCol w:w="1418"/>
      </w:tblGrid>
      <w:tr w:rsidR="00CB2BCC" w:rsidRPr="00C877C2" w14:paraId="1CC987C0"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CC987BD" w14:textId="77777777" w:rsidR="00CB2BCC" w:rsidRPr="00C877C2" w:rsidRDefault="00CB2BCC" w:rsidP="000035EA">
            <w:pPr>
              <w:rPr>
                <w:rFonts w:ascii="Calibri" w:hAnsi="Calibri"/>
                <w:color w:val="000000"/>
              </w:rPr>
            </w:pPr>
            <w:r w:rsidRPr="00C877C2">
              <w:rPr>
                <w:rFonts w:ascii="Calibri" w:hAnsi="Calibri"/>
                <w:color w:val="000000"/>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CC987BE" w14:textId="77777777" w:rsidR="00CB2BCC" w:rsidRPr="00C877C2" w:rsidRDefault="00CB2BCC" w:rsidP="000035EA">
            <w:pPr>
              <w:rPr>
                <w:rFonts w:ascii="Calibri" w:hAnsi="Calibri"/>
                <w:color w:val="000000"/>
              </w:rPr>
            </w:pPr>
            <w:proofErr w:type="gramStart"/>
            <w:r w:rsidRPr="00C877C2">
              <w:rPr>
                <w:rFonts w:ascii="Calibri" w:hAnsi="Calibri"/>
                <w:color w:val="000000"/>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1CC987BF" w14:textId="77777777" w:rsidR="00CB2BCC" w:rsidRPr="00C877C2" w:rsidRDefault="00CB2BCC" w:rsidP="000035EA">
            <w:pPr>
              <w:rPr>
                <w:rFonts w:ascii="Calibri" w:hAnsi="Calibri"/>
                <w:color w:val="000000"/>
              </w:rPr>
            </w:pPr>
            <w:proofErr w:type="gramStart"/>
            <w:r w:rsidRPr="00C877C2">
              <w:rPr>
                <w:rFonts w:ascii="Calibri" w:hAnsi="Calibri"/>
                <w:color w:val="000000"/>
                <w:szCs w:val="22"/>
              </w:rPr>
              <w:t>Ø  INTERNO</w:t>
            </w:r>
            <w:proofErr w:type="gramEnd"/>
          </w:p>
        </w:tc>
      </w:tr>
      <w:tr w:rsidR="00CB2BCC" w:rsidRPr="00C877C2" w14:paraId="1CC987C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C1" w14:textId="77777777" w:rsidR="00CB2BCC" w:rsidRPr="00C877C2" w:rsidRDefault="00CB2BCC" w:rsidP="000035EA">
            <w:pPr>
              <w:jc w:val="center"/>
              <w:rPr>
                <w:rFonts w:ascii="Calibri" w:hAnsi="Calibri"/>
                <w:color w:val="000000"/>
              </w:rPr>
            </w:pPr>
            <w:r w:rsidRPr="00C877C2">
              <w:rPr>
                <w:rFonts w:ascii="Calibri" w:hAnsi="Calibri"/>
                <w:color w:val="000000"/>
                <w:szCs w:val="22"/>
              </w:rPr>
              <w:t>EW</w:t>
            </w:r>
          </w:p>
        </w:tc>
        <w:tc>
          <w:tcPr>
            <w:tcW w:w="1251" w:type="dxa"/>
            <w:tcBorders>
              <w:top w:val="nil"/>
              <w:left w:val="nil"/>
              <w:bottom w:val="single" w:sz="4" w:space="0" w:color="auto"/>
              <w:right w:val="single" w:sz="4" w:space="0" w:color="auto"/>
            </w:tcBorders>
            <w:noWrap/>
            <w:vAlign w:val="bottom"/>
          </w:tcPr>
          <w:p w14:paraId="1CC987C2" w14:textId="77777777" w:rsidR="00CB2BCC" w:rsidRPr="00C877C2" w:rsidRDefault="00CB2BCC" w:rsidP="000035EA">
            <w:pPr>
              <w:jc w:val="center"/>
              <w:rPr>
                <w:rFonts w:ascii="Calibri" w:hAnsi="Calibri"/>
                <w:color w:val="000000"/>
              </w:rPr>
            </w:pPr>
            <w:r w:rsidRPr="00C877C2">
              <w:rPr>
                <w:rFonts w:ascii="Calibri" w:hAnsi="Calibri"/>
                <w:color w:val="000000"/>
                <w:szCs w:val="22"/>
              </w:rPr>
              <w:t>46,2</w:t>
            </w:r>
          </w:p>
        </w:tc>
        <w:tc>
          <w:tcPr>
            <w:tcW w:w="1418" w:type="dxa"/>
            <w:tcBorders>
              <w:top w:val="nil"/>
              <w:left w:val="nil"/>
              <w:bottom w:val="single" w:sz="4" w:space="0" w:color="auto"/>
              <w:right w:val="single" w:sz="4" w:space="0" w:color="auto"/>
            </w:tcBorders>
            <w:noWrap/>
            <w:vAlign w:val="bottom"/>
          </w:tcPr>
          <w:p w14:paraId="1CC987C3" w14:textId="77777777" w:rsidR="00CB2BCC" w:rsidRPr="00C877C2" w:rsidRDefault="00CB2BCC" w:rsidP="000035EA">
            <w:pPr>
              <w:jc w:val="center"/>
              <w:rPr>
                <w:rFonts w:ascii="Calibri" w:hAnsi="Calibri"/>
                <w:color w:val="000000"/>
              </w:rPr>
            </w:pPr>
            <w:r w:rsidRPr="00C877C2">
              <w:rPr>
                <w:rFonts w:ascii="Calibri" w:hAnsi="Calibri"/>
                <w:color w:val="000000"/>
                <w:szCs w:val="22"/>
              </w:rPr>
              <w:t>38,2</w:t>
            </w:r>
          </w:p>
        </w:tc>
      </w:tr>
      <w:tr w:rsidR="00CB2BCC" w:rsidRPr="00C877C2" w14:paraId="1CC987C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C5" w14:textId="77777777" w:rsidR="00CB2BCC" w:rsidRPr="00C877C2" w:rsidRDefault="00CB2BCC" w:rsidP="000035EA">
            <w:pPr>
              <w:jc w:val="center"/>
              <w:rPr>
                <w:rFonts w:ascii="Calibri" w:hAnsi="Calibri"/>
                <w:color w:val="000000"/>
              </w:rPr>
            </w:pPr>
            <w:r w:rsidRPr="00C877C2">
              <w:rPr>
                <w:rFonts w:ascii="Calibri" w:hAnsi="Calibri"/>
                <w:color w:val="000000"/>
                <w:szCs w:val="22"/>
              </w:rPr>
              <w:t>AW</w:t>
            </w:r>
          </w:p>
        </w:tc>
        <w:tc>
          <w:tcPr>
            <w:tcW w:w="1251" w:type="dxa"/>
            <w:tcBorders>
              <w:top w:val="nil"/>
              <w:left w:val="nil"/>
              <w:bottom w:val="single" w:sz="4" w:space="0" w:color="auto"/>
              <w:right w:val="single" w:sz="4" w:space="0" w:color="auto"/>
            </w:tcBorders>
            <w:noWrap/>
            <w:vAlign w:val="bottom"/>
          </w:tcPr>
          <w:p w14:paraId="1CC987C6" w14:textId="77777777" w:rsidR="00CB2BCC" w:rsidRPr="00C877C2" w:rsidRDefault="00CB2BCC" w:rsidP="000035EA">
            <w:pPr>
              <w:jc w:val="center"/>
              <w:rPr>
                <w:rFonts w:ascii="Calibri" w:hAnsi="Calibri"/>
                <w:color w:val="000000"/>
              </w:rPr>
            </w:pPr>
            <w:r w:rsidRPr="00C877C2">
              <w:rPr>
                <w:rFonts w:ascii="Calibri" w:hAnsi="Calibri"/>
                <w:color w:val="000000"/>
                <w:szCs w:val="22"/>
              </w:rPr>
              <w:t>57,3</w:t>
            </w:r>
          </w:p>
        </w:tc>
        <w:tc>
          <w:tcPr>
            <w:tcW w:w="1418" w:type="dxa"/>
            <w:tcBorders>
              <w:top w:val="nil"/>
              <w:left w:val="nil"/>
              <w:bottom w:val="single" w:sz="4" w:space="0" w:color="auto"/>
              <w:right w:val="single" w:sz="4" w:space="0" w:color="auto"/>
            </w:tcBorders>
            <w:noWrap/>
            <w:vAlign w:val="bottom"/>
          </w:tcPr>
          <w:p w14:paraId="1CC987C7" w14:textId="77777777" w:rsidR="00CB2BCC" w:rsidRPr="00C877C2" w:rsidRDefault="00CB2BCC" w:rsidP="000035EA">
            <w:pPr>
              <w:jc w:val="center"/>
              <w:rPr>
                <w:rFonts w:ascii="Calibri" w:hAnsi="Calibri"/>
                <w:color w:val="000000"/>
              </w:rPr>
            </w:pPr>
            <w:r w:rsidRPr="00C877C2">
              <w:rPr>
                <w:rFonts w:ascii="Calibri" w:hAnsi="Calibri"/>
                <w:color w:val="000000"/>
                <w:szCs w:val="22"/>
              </w:rPr>
              <w:t>48,5</w:t>
            </w:r>
          </w:p>
        </w:tc>
      </w:tr>
      <w:tr w:rsidR="00CB2BCC" w:rsidRPr="00C877C2" w14:paraId="1CC987C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C9" w14:textId="77777777" w:rsidR="00CB2BCC" w:rsidRPr="00C877C2" w:rsidRDefault="00CB2BCC" w:rsidP="000035EA">
            <w:pPr>
              <w:jc w:val="center"/>
              <w:rPr>
                <w:rFonts w:ascii="Calibri" w:hAnsi="Calibri"/>
                <w:color w:val="000000"/>
              </w:rPr>
            </w:pPr>
            <w:r w:rsidRPr="00C877C2">
              <w:rPr>
                <w:rFonts w:ascii="Calibri" w:hAnsi="Calibri"/>
                <w:color w:val="000000"/>
                <w:szCs w:val="22"/>
              </w:rPr>
              <w:t>BW</w:t>
            </w:r>
          </w:p>
        </w:tc>
        <w:tc>
          <w:tcPr>
            <w:tcW w:w="1251" w:type="dxa"/>
            <w:tcBorders>
              <w:top w:val="nil"/>
              <w:left w:val="nil"/>
              <w:bottom w:val="single" w:sz="4" w:space="0" w:color="auto"/>
              <w:right w:val="single" w:sz="4" w:space="0" w:color="auto"/>
            </w:tcBorders>
            <w:noWrap/>
            <w:vAlign w:val="bottom"/>
          </w:tcPr>
          <w:p w14:paraId="1CC987CA" w14:textId="77777777" w:rsidR="00CB2BCC" w:rsidRPr="00C877C2" w:rsidRDefault="00CB2BCC" w:rsidP="000035EA">
            <w:pPr>
              <w:jc w:val="center"/>
              <w:rPr>
                <w:rFonts w:ascii="Calibri" w:hAnsi="Calibri"/>
                <w:color w:val="000000"/>
              </w:rPr>
            </w:pPr>
            <w:r w:rsidRPr="00C877C2">
              <w:rPr>
                <w:rFonts w:ascii="Calibri" w:hAnsi="Calibri"/>
                <w:color w:val="000000"/>
                <w:szCs w:val="22"/>
              </w:rPr>
              <w:t>73,2</w:t>
            </w:r>
          </w:p>
        </w:tc>
        <w:tc>
          <w:tcPr>
            <w:tcW w:w="1418" w:type="dxa"/>
            <w:tcBorders>
              <w:top w:val="nil"/>
              <w:left w:val="nil"/>
              <w:bottom w:val="single" w:sz="4" w:space="0" w:color="auto"/>
              <w:right w:val="single" w:sz="4" w:space="0" w:color="auto"/>
            </w:tcBorders>
            <w:noWrap/>
            <w:vAlign w:val="bottom"/>
          </w:tcPr>
          <w:p w14:paraId="1CC987CB" w14:textId="77777777" w:rsidR="00CB2BCC" w:rsidRPr="00C877C2" w:rsidRDefault="00CB2BCC" w:rsidP="000035EA">
            <w:pPr>
              <w:jc w:val="center"/>
              <w:rPr>
                <w:rFonts w:ascii="Calibri" w:hAnsi="Calibri"/>
                <w:color w:val="000000"/>
              </w:rPr>
            </w:pPr>
            <w:r w:rsidRPr="00C877C2">
              <w:rPr>
                <w:rFonts w:ascii="Calibri" w:hAnsi="Calibri"/>
                <w:color w:val="000000"/>
                <w:szCs w:val="22"/>
              </w:rPr>
              <w:t>60,5</w:t>
            </w:r>
          </w:p>
        </w:tc>
      </w:tr>
      <w:tr w:rsidR="00CB2BCC" w:rsidRPr="00C877C2" w14:paraId="1CC987D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CD" w14:textId="77777777" w:rsidR="00CB2BCC" w:rsidRPr="00C877C2" w:rsidRDefault="00CB2BCC" w:rsidP="000035EA">
            <w:pPr>
              <w:jc w:val="center"/>
              <w:rPr>
                <w:rFonts w:ascii="Calibri" w:hAnsi="Calibri"/>
                <w:color w:val="000000"/>
              </w:rPr>
            </w:pPr>
            <w:r w:rsidRPr="00C877C2">
              <w:rPr>
                <w:rFonts w:ascii="Calibri" w:hAnsi="Calibri"/>
                <w:color w:val="000000"/>
                <w:szCs w:val="22"/>
              </w:rPr>
              <w:t>NW</w:t>
            </w:r>
          </w:p>
        </w:tc>
        <w:tc>
          <w:tcPr>
            <w:tcW w:w="1251" w:type="dxa"/>
            <w:tcBorders>
              <w:top w:val="nil"/>
              <w:left w:val="nil"/>
              <w:bottom w:val="single" w:sz="4" w:space="0" w:color="auto"/>
              <w:right w:val="single" w:sz="4" w:space="0" w:color="auto"/>
            </w:tcBorders>
            <w:noWrap/>
            <w:vAlign w:val="bottom"/>
          </w:tcPr>
          <w:p w14:paraId="1CC987CE" w14:textId="77777777" w:rsidR="00CB2BCC" w:rsidRPr="00C877C2" w:rsidRDefault="00CB2BCC" w:rsidP="000035EA">
            <w:pPr>
              <w:jc w:val="center"/>
              <w:rPr>
                <w:rFonts w:ascii="Calibri" w:hAnsi="Calibri"/>
                <w:color w:val="000000"/>
              </w:rPr>
            </w:pPr>
            <w:r w:rsidRPr="00C877C2">
              <w:rPr>
                <w:rFonts w:ascii="Calibri" w:hAnsi="Calibri"/>
                <w:color w:val="000000"/>
                <w:szCs w:val="22"/>
              </w:rPr>
              <w:t>89,1</w:t>
            </w:r>
          </w:p>
        </w:tc>
        <w:tc>
          <w:tcPr>
            <w:tcW w:w="1418" w:type="dxa"/>
            <w:tcBorders>
              <w:top w:val="nil"/>
              <w:left w:val="nil"/>
              <w:bottom w:val="single" w:sz="4" w:space="0" w:color="auto"/>
              <w:right w:val="single" w:sz="4" w:space="0" w:color="auto"/>
            </w:tcBorders>
            <w:noWrap/>
            <w:vAlign w:val="bottom"/>
          </w:tcPr>
          <w:p w14:paraId="1CC987CF" w14:textId="77777777" w:rsidR="00CB2BCC" w:rsidRPr="00C877C2" w:rsidRDefault="00CB2BCC" w:rsidP="000035EA">
            <w:pPr>
              <w:jc w:val="center"/>
              <w:rPr>
                <w:rFonts w:ascii="Calibri" w:hAnsi="Calibri"/>
                <w:color w:val="000000"/>
              </w:rPr>
            </w:pPr>
            <w:r w:rsidRPr="00C877C2">
              <w:rPr>
                <w:rFonts w:ascii="Calibri" w:hAnsi="Calibri"/>
                <w:color w:val="000000"/>
                <w:szCs w:val="22"/>
              </w:rPr>
              <w:t>76,4</w:t>
            </w:r>
          </w:p>
        </w:tc>
      </w:tr>
      <w:tr w:rsidR="00CB2BCC" w:rsidRPr="00C877C2" w14:paraId="1CC987D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D1" w14:textId="77777777" w:rsidR="00CB2BCC" w:rsidRPr="00C877C2" w:rsidRDefault="00CB2BCC" w:rsidP="000035EA">
            <w:pPr>
              <w:jc w:val="center"/>
              <w:rPr>
                <w:rFonts w:ascii="Calibri" w:hAnsi="Calibri"/>
                <w:color w:val="000000"/>
              </w:rPr>
            </w:pPr>
            <w:r w:rsidRPr="00C877C2">
              <w:rPr>
                <w:rFonts w:ascii="Calibri" w:hAnsi="Calibri"/>
                <w:color w:val="000000"/>
                <w:szCs w:val="22"/>
              </w:rPr>
              <w:t>HW</w:t>
            </w:r>
          </w:p>
        </w:tc>
        <w:tc>
          <w:tcPr>
            <w:tcW w:w="1251" w:type="dxa"/>
            <w:tcBorders>
              <w:top w:val="nil"/>
              <w:left w:val="nil"/>
              <w:bottom w:val="single" w:sz="4" w:space="0" w:color="auto"/>
              <w:right w:val="single" w:sz="4" w:space="0" w:color="auto"/>
            </w:tcBorders>
            <w:noWrap/>
            <w:vAlign w:val="bottom"/>
          </w:tcPr>
          <w:p w14:paraId="1CC987D2" w14:textId="77777777" w:rsidR="00CB2BCC" w:rsidRPr="00C877C2" w:rsidRDefault="00CB2BCC" w:rsidP="000035EA">
            <w:pPr>
              <w:jc w:val="center"/>
              <w:rPr>
                <w:rFonts w:ascii="Calibri" w:hAnsi="Calibri"/>
                <w:color w:val="000000"/>
              </w:rPr>
            </w:pPr>
            <w:r w:rsidRPr="00C877C2">
              <w:rPr>
                <w:rFonts w:ascii="Calibri" w:hAnsi="Calibri"/>
                <w:color w:val="000000"/>
                <w:szCs w:val="22"/>
              </w:rPr>
              <w:t>114,5</w:t>
            </w:r>
          </w:p>
        </w:tc>
        <w:tc>
          <w:tcPr>
            <w:tcW w:w="1418" w:type="dxa"/>
            <w:tcBorders>
              <w:top w:val="nil"/>
              <w:left w:val="nil"/>
              <w:bottom w:val="single" w:sz="4" w:space="0" w:color="auto"/>
              <w:right w:val="single" w:sz="4" w:space="0" w:color="auto"/>
            </w:tcBorders>
            <w:noWrap/>
            <w:vAlign w:val="bottom"/>
          </w:tcPr>
          <w:p w14:paraId="1CC987D3" w14:textId="77777777" w:rsidR="00CB2BCC" w:rsidRPr="00C877C2" w:rsidRDefault="00CB2BCC" w:rsidP="000035EA">
            <w:pPr>
              <w:jc w:val="center"/>
              <w:rPr>
                <w:rFonts w:ascii="Calibri" w:hAnsi="Calibri"/>
                <w:color w:val="000000"/>
              </w:rPr>
            </w:pPr>
            <w:r w:rsidRPr="00C877C2">
              <w:rPr>
                <w:rFonts w:ascii="Calibri" w:hAnsi="Calibri"/>
                <w:color w:val="000000"/>
                <w:szCs w:val="22"/>
              </w:rPr>
              <w:t>101,4</w:t>
            </w:r>
          </w:p>
        </w:tc>
      </w:tr>
    </w:tbl>
    <w:p w14:paraId="1CC987D5" w14:textId="77777777" w:rsidR="00CB2BCC" w:rsidRPr="00C877C2" w:rsidRDefault="00CB2BCC" w:rsidP="00122D60">
      <w:pPr>
        <w:pStyle w:val="nivel1"/>
        <w:numPr>
          <w:ilvl w:val="0"/>
          <w:numId w:val="0"/>
        </w:numPr>
        <w:ind w:left="1134"/>
      </w:pPr>
    </w:p>
    <w:p w14:paraId="1CC987D6" w14:textId="77777777" w:rsidR="00CB2BCC" w:rsidRPr="00C877C2" w:rsidRDefault="00CB2BCC" w:rsidP="003050D1">
      <w:pPr>
        <w:pStyle w:val="Legenda"/>
        <w:keepNext/>
        <w:jc w:val="center"/>
      </w:pPr>
      <w:bookmarkStart w:id="30" w:name="_Toc424033680"/>
      <w:r w:rsidRPr="00C877C2">
        <w:t xml:space="preserve">Tabela B </w:t>
      </w:r>
      <w:fldSimple w:instr=" SEQ Tabela_B \* ARABIC ">
        <w:r w:rsidRPr="00C877C2">
          <w:rPr>
            <w:noProof/>
          </w:rPr>
          <w:t>6</w:t>
        </w:r>
      </w:fldSimple>
      <w:r w:rsidRPr="00C877C2">
        <w:t xml:space="preserve"> - Dimensões Padronizadas de Revestimentos - grupo X - junção lisa com niple ou conector</w:t>
      </w:r>
      <w:bookmarkEnd w:id="30"/>
    </w:p>
    <w:tbl>
      <w:tblPr>
        <w:tblW w:w="5699" w:type="dxa"/>
        <w:jc w:val="center"/>
        <w:tblCellMar>
          <w:left w:w="70" w:type="dxa"/>
          <w:right w:w="70" w:type="dxa"/>
        </w:tblCellMar>
        <w:tblLook w:val="00A0" w:firstRow="1" w:lastRow="0" w:firstColumn="1" w:lastColumn="0" w:noHBand="0" w:noVBand="0"/>
      </w:tblPr>
      <w:tblGrid>
        <w:gridCol w:w="1600"/>
        <w:gridCol w:w="1291"/>
        <w:gridCol w:w="1275"/>
        <w:gridCol w:w="1533"/>
      </w:tblGrid>
      <w:tr w:rsidR="00CB2BCC" w:rsidRPr="00C877C2" w14:paraId="1CC987DB"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CC987D7" w14:textId="77777777" w:rsidR="00CB2BCC" w:rsidRPr="00C877C2" w:rsidRDefault="00CB2BCC" w:rsidP="000035EA">
            <w:pPr>
              <w:jc w:val="center"/>
              <w:rPr>
                <w:rFonts w:ascii="Calibri" w:hAnsi="Calibri"/>
                <w:color w:val="000000"/>
              </w:rPr>
            </w:pPr>
            <w:r w:rsidRPr="00C877C2">
              <w:rPr>
                <w:rFonts w:ascii="Calibri" w:hAnsi="Calibri"/>
                <w:color w:val="000000"/>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CC987D8" w14:textId="77777777" w:rsidR="00CB2BCC" w:rsidRPr="00C877C2" w:rsidRDefault="00CB2BCC" w:rsidP="000035EA">
            <w:pPr>
              <w:jc w:val="center"/>
              <w:rPr>
                <w:rFonts w:ascii="Calibri" w:hAnsi="Calibri"/>
                <w:color w:val="000000"/>
              </w:rPr>
            </w:pPr>
            <w:proofErr w:type="gramStart"/>
            <w:r w:rsidRPr="00C877C2">
              <w:rPr>
                <w:rFonts w:ascii="Calibri" w:hAnsi="Calibri"/>
                <w:color w:val="000000"/>
                <w:szCs w:val="22"/>
              </w:rPr>
              <w:t>Ø  EXTERNO</w:t>
            </w:r>
            <w:proofErr w:type="gramEnd"/>
          </w:p>
        </w:tc>
        <w:tc>
          <w:tcPr>
            <w:tcW w:w="1275" w:type="dxa"/>
            <w:tcBorders>
              <w:top w:val="single" w:sz="4" w:space="0" w:color="auto"/>
              <w:left w:val="nil"/>
              <w:bottom w:val="single" w:sz="4" w:space="0" w:color="auto"/>
              <w:right w:val="single" w:sz="4" w:space="0" w:color="auto"/>
            </w:tcBorders>
            <w:noWrap/>
            <w:vAlign w:val="bottom"/>
          </w:tcPr>
          <w:p w14:paraId="1CC987D9" w14:textId="77777777" w:rsidR="00CB2BCC" w:rsidRPr="00C877C2" w:rsidRDefault="00CB2BCC" w:rsidP="000035EA">
            <w:pPr>
              <w:jc w:val="center"/>
              <w:rPr>
                <w:rFonts w:ascii="Calibri" w:hAnsi="Calibri"/>
                <w:color w:val="000000"/>
              </w:rPr>
            </w:pPr>
            <w:proofErr w:type="gramStart"/>
            <w:r w:rsidRPr="00C877C2">
              <w:rPr>
                <w:rFonts w:ascii="Calibri" w:hAnsi="Calibri"/>
                <w:color w:val="000000"/>
                <w:szCs w:val="22"/>
              </w:rPr>
              <w:t>Ø  INTERNO</w:t>
            </w:r>
            <w:proofErr w:type="gramEnd"/>
          </w:p>
        </w:tc>
        <w:tc>
          <w:tcPr>
            <w:tcW w:w="1533" w:type="dxa"/>
            <w:tcBorders>
              <w:top w:val="single" w:sz="4" w:space="0" w:color="auto"/>
              <w:left w:val="nil"/>
              <w:bottom w:val="single" w:sz="4" w:space="0" w:color="auto"/>
              <w:right w:val="single" w:sz="4" w:space="0" w:color="auto"/>
            </w:tcBorders>
            <w:noWrap/>
            <w:vAlign w:val="bottom"/>
          </w:tcPr>
          <w:p w14:paraId="1CC987DA" w14:textId="77777777" w:rsidR="00CB2BCC" w:rsidRPr="00C877C2" w:rsidRDefault="00CB2BCC" w:rsidP="000035EA">
            <w:pPr>
              <w:jc w:val="center"/>
              <w:rPr>
                <w:rFonts w:ascii="Calibri" w:hAnsi="Calibri"/>
                <w:color w:val="000000"/>
              </w:rPr>
            </w:pPr>
            <w:proofErr w:type="gramStart"/>
            <w:r w:rsidRPr="00C877C2">
              <w:rPr>
                <w:rFonts w:ascii="Calibri" w:hAnsi="Calibri"/>
                <w:color w:val="000000"/>
                <w:szCs w:val="22"/>
              </w:rPr>
              <w:t>Ø  INT.</w:t>
            </w:r>
            <w:proofErr w:type="gramEnd"/>
            <w:r w:rsidRPr="00C877C2">
              <w:rPr>
                <w:rFonts w:ascii="Calibri" w:hAnsi="Calibri"/>
                <w:color w:val="000000"/>
                <w:szCs w:val="22"/>
              </w:rPr>
              <w:t xml:space="preserve">  NIPLE</w:t>
            </w:r>
          </w:p>
        </w:tc>
      </w:tr>
      <w:tr w:rsidR="00CB2BCC" w:rsidRPr="00C877C2" w14:paraId="1CC987E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DC" w14:textId="77777777" w:rsidR="00CB2BCC" w:rsidRPr="00C877C2" w:rsidRDefault="00CB2BCC" w:rsidP="000035EA">
            <w:pPr>
              <w:jc w:val="center"/>
              <w:rPr>
                <w:rFonts w:ascii="Calibri" w:hAnsi="Calibri"/>
                <w:color w:val="000000"/>
              </w:rPr>
            </w:pPr>
            <w:r w:rsidRPr="00C877C2">
              <w:rPr>
                <w:rFonts w:ascii="Calibri" w:hAnsi="Calibri"/>
                <w:color w:val="000000"/>
                <w:szCs w:val="22"/>
              </w:rPr>
              <w:t>EW</w:t>
            </w:r>
          </w:p>
        </w:tc>
        <w:tc>
          <w:tcPr>
            <w:tcW w:w="1291" w:type="dxa"/>
            <w:tcBorders>
              <w:top w:val="nil"/>
              <w:left w:val="nil"/>
              <w:bottom w:val="single" w:sz="4" w:space="0" w:color="auto"/>
              <w:right w:val="single" w:sz="4" w:space="0" w:color="auto"/>
            </w:tcBorders>
            <w:noWrap/>
            <w:vAlign w:val="bottom"/>
          </w:tcPr>
          <w:p w14:paraId="1CC987DD"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46,2</w:t>
            </w:r>
          </w:p>
        </w:tc>
        <w:tc>
          <w:tcPr>
            <w:tcW w:w="1275" w:type="dxa"/>
            <w:tcBorders>
              <w:top w:val="nil"/>
              <w:left w:val="nil"/>
              <w:bottom w:val="single" w:sz="4" w:space="0" w:color="auto"/>
              <w:right w:val="single" w:sz="4" w:space="0" w:color="auto"/>
            </w:tcBorders>
            <w:noWrap/>
            <w:vAlign w:val="bottom"/>
          </w:tcPr>
          <w:p w14:paraId="1CC987DE"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41,2</w:t>
            </w:r>
          </w:p>
        </w:tc>
        <w:tc>
          <w:tcPr>
            <w:tcW w:w="1533" w:type="dxa"/>
            <w:tcBorders>
              <w:top w:val="nil"/>
              <w:left w:val="nil"/>
              <w:bottom w:val="single" w:sz="4" w:space="0" w:color="auto"/>
              <w:right w:val="single" w:sz="4" w:space="0" w:color="auto"/>
            </w:tcBorders>
            <w:noWrap/>
            <w:vAlign w:val="bottom"/>
          </w:tcPr>
          <w:p w14:paraId="1CC987DF"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38,2</w:t>
            </w:r>
          </w:p>
        </w:tc>
      </w:tr>
      <w:tr w:rsidR="00CB2BCC" w:rsidRPr="00C877C2" w14:paraId="1CC987E5"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E1" w14:textId="77777777" w:rsidR="00CB2BCC" w:rsidRPr="00C877C2" w:rsidRDefault="00CB2BCC" w:rsidP="000035EA">
            <w:pPr>
              <w:jc w:val="center"/>
              <w:rPr>
                <w:rFonts w:ascii="Calibri" w:hAnsi="Calibri"/>
                <w:color w:val="000000"/>
              </w:rPr>
            </w:pPr>
            <w:r w:rsidRPr="00C877C2">
              <w:rPr>
                <w:rFonts w:ascii="Calibri" w:hAnsi="Calibri"/>
                <w:color w:val="000000"/>
                <w:szCs w:val="22"/>
              </w:rPr>
              <w:t>AW</w:t>
            </w:r>
          </w:p>
        </w:tc>
        <w:tc>
          <w:tcPr>
            <w:tcW w:w="1291" w:type="dxa"/>
            <w:tcBorders>
              <w:top w:val="nil"/>
              <w:left w:val="nil"/>
              <w:bottom w:val="single" w:sz="4" w:space="0" w:color="auto"/>
              <w:right w:val="single" w:sz="4" w:space="0" w:color="auto"/>
            </w:tcBorders>
            <w:noWrap/>
            <w:vAlign w:val="bottom"/>
          </w:tcPr>
          <w:p w14:paraId="1CC987E2"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57,3</w:t>
            </w:r>
          </w:p>
        </w:tc>
        <w:tc>
          <w:tcPr>
            <w:tcW w:w="1275" w:type="dxa"/>
            <w:tcBorders>
              <w:top w:val="nil"/>
              <w:left w:val="nil"/>
              <w:bottom w:val="single" w:sz="4" w:space="0" w:color="auto"/>
              <w:right w:val="single" w:sz="4" w:space="0" w:color="auto"/>
            </w:tcBorders>
            <w:noWrap/>
            <w:vAlign w:val="bottom"/>
          </w:tcPr>
          <w:p w14:paraId="1CC987E3"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50,7</w:t>
            </w:r>
          </w:p>
        </w:tc>
        <w:tc>
          <w:tcPr>
            <w:tcW w:w="1533" w:type="dxa"/>
            <w:tcBorders>
              <w:top w:val="nil"/>
              <w:left w:val="nil"/>
              <w:bottom w:val="single" w:sz="4" w:space="0" w:color="auto"/>
              <w:right w:val="single" w:sz="4" w:space="0" w:color="auto"/>
            </w:tcBorders>
            <w:noWrap/>
            <w:vAlign w:val="bottom"/>
          </w:tcPr>
          <w:p w14:paraId="1CC987E4"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48,5</w:t>
            </w:r>
          </w:p>
        </w:tc>
      </w:tr>
      <w:tr w:rsidR="00CB2BCC" w:rsidRPr="00C877C2" w14:paraId="1CC987EA"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E6" w14:textId="77777777" w:rsidR="00CB2BCC" w:rsidRPr="00C877C2" w:rsidRDefault="00CB2BCC" w:rsidP="000035EA">
            <w:pPr>
              <w:jc w:val="center"/>
              <w:rPr>
                <w:rFonts w:ascii="Calibri" w:hAnsi="Calibri"/>
                <w:color w:val="000000"/>
              </w:rPr>
            </w:pPr>
            <w:r w:rsidRPr="00C877C2">
              <w:rPr>
                <w:rFonts w:ascii="Calibri" w:hAnsi="Calibri"/>
                <w:color w:val="000000"/>
                <w:szCs w:val="22"/>
              </w:rPr>
              <w:t>BW</w:t>
            </w:r>
          </w:p>
        </w:tc>
        <w:tc>
          <w:tcPr>
            <w:tcW w:w="1291" w:type="dxa"/>
            <w:tcBorders>
              <w:top w:val="nil"/>
              <w:left w:val="nil"/>
              <w:bottom w:val="single" w:sz="4" w:space="0" w:color="auto"/>
              <w:right w:val="single" w:sz="4" w:space="0" w:color="auto"/>
            </w:tcBorders>
            <w:noWrap/>
            <w:vAlign w:val="bottom"/>
          </w:tcPr>
          <w:p w14:paraId="1CC987E7"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73,2</w:t>
            </w:r>
          </w:p>
        </w:tc>
        <w:tc>
          <w:tcPr>
            <w:tcW w:w="1275" w:type="dxa"/>
            <w:tcBorders>
              <w:top w:val="nil"/>
              <w:left w:val="nil"/>
              <w:bottom w:val="single" w:sz="4" w:space="0" w:color="auto"/>
              <w:right w:val="single" w:sz="4" w:space="0" w:color="auto"/>
            </w:tcBorders>
            <w:noWrap/>
            <w:vAlign w:val="bottom"/>
          </w:tcPr>
          <w:p w14:paraId="1CC987E8"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65,0</w:t>
            </w:r>
          </w:p>
        </w:tc>
        <w:tc>
          <w:tcPr>
            <w:tcW w:w="1533" w:type="dxa"/>
            <w:tcBorders>
              <w:top w:val="nil"/>
              <w:left w:val="nil"/>
              <w:bottom w:val="single" w:sz="4" w:space="0" w:color="auto"/>
              <w:right w:val="single" w:sz="4" w:space="0" w:color="auto"/>
            </w:tcBorders>
            <w:noWrap/>
            <w:vAlign w:val="bottom"/>
          </w:tcPr>
          <w:p w14:paraId="1CC987E9"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60,4</w:t>
            </w:r>
          </w:p>
        </w:tc>
      </w:tr>
      <w:tr w:rsidR="00CB2BCC" w:rsidRPr="00C877C2" w14:paraId="1CC987EF"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EB" w14:textId="77777777" w:rsidR="00CB2BCC" w:rsidRPr="00C877C2" w:rsidRDefault="00CB2BCC" w:rsidP="000035EA">
            <w:pPr>
              <w:jc w:val="center"/>
              <w:rPr>
                <w:rFonts w:ascii="Calibri" w:hAnsi="Calibri"/>
                <w:color w:val="000000"/>
              </w:rPr>
            </w:pPr>
            <w:r w:rsidRPr="00C877C2">
              <w:rPr>
                <w:rFonts w:ascii="Calibri" w:hAnsi="Calibri"/>
                <w:color w:val="000000"/>
                <w:szCs w:val="22"/>
              </w:rPr>
              <w:t>NW</w:t>
            </w:r>
          </w:p>
        </w:tc>
        <w:tc>
          <w:tcPr>
            <w:tcW w:w="1291" w:type="dxa"/>
            <w:tcBorders>
              <w:top w:val="nil"/>
              <w:left w:val="nil"/>
              <w:bottom w:val="single" w:sz="4" w:space="0" w:color="auto"/>
              <w:right w:val="single" w:sz="4" w:space="0" w:color="auto"/>
            </w:tcBorders>
            <w:noWrap/>
            <w:vAlign w:val="bottom"/>
          </w:tcPr>
          <w:p w14:paraId="1CC987EC"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89,1</w:t>
            </w:r>
          </w:p>
        </w:tc>
        <w:tc>
          <w:tcPr>
            <w:tcW w:w="1275" w:type="dxa"/>
            <w:tcBorders>
              <w:top w:val="nil"/>
              <w:left w:val="nil"/>
              <w:bottom w:val="single" w:sz="4" w:space="0" w:color="auto"/>
              <w:right w:val="single" w:sz="4" w:space="0" w:color="auto"/>
            </w:tcBorders>
            <w:noWrap/>
            <w:vAlign w:val="bottom"/>
          </w:tcPr>
          <w:p w14:paraId="1CC987ED"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80,8</w:t>
            </w:r>
          </w:p>
        </w:tc>
        <w:tc>
          <w:tcPr>
            <w:tcW w:w="1533" w:type="dxa"/>
            <w:tcBorders>
              <w:top w:val="nil"/>
              <w:left w:val="nil"/>
              <w:bottom w:val="single" w:sz="4" w:space="0" w:color="auto"/>
              <w:right w:val="single" w:sz="4" w:space="0" w:color="auto"/>
            </w:tcBorders>
            <w:noWrap/>
            <w:vAlign w:val="bottom"/>
          </w:tcPr>
          <w:p w14:paraId="1CC987EE"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76,4</w:t>
            </w:r>
          </w:p>
        </w:tc>
      </w:tr>
      <w:tr w:rsidR="00CB2BCC" w:rsidRPr="005A2933" w14:paraId="1CC987F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CC987F0" w14:textId="77777777" w:rsidR="00CB2BCC" w:rsidRPr="00C877C2" w:rsidRDefault="00CB2BCC" w:rsidP="000035EA">
            <w:pPr>
              <w:jc w:val="center"/>
              <w:rPr>
                <w:rFonts w:ascii="Calibri" w:hAnsi="Calibri"/>
                <w:color w:val="000000"/>
              </w:rPr>
            </w:pPr>
            <w:r w:rsidRPr="00C877C2">
              <w:rPr>
                <w:rFonts w:ascii="Calibri" w:hAnsi="Calibri"/>
                <w:color w:val="000000"/>
                <w:szCs w:val="22"/>
              </w:rPr>
              <w:t>HW</w:t>
            </w:r>
          </w:p>
        </w:tc>
        <w:tc>
          <w:tcPr>
            <w:tcW w:w="1291" w:type="dxa"/>
            <w:tcBorders>
              <w:top w:val="nil"/>
              <w:left w:val="nil"/>
              <w:bottom w:val="single" w:sz="4" w:space="0" w:color="auto"/>
              <w:right w:val="single" w:sz="4" w:space="0" w:color="auto"/>
            </w:tcBorders>
            <w:noWrap/>
            <w:vAlign w:val="bottom"/>
          </w:tcPr>
          <w:p w14:paraId="1CC987F1"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114,5</w:t>
            </w:r>
          </w:p>
        </w:tc>
        <w:tc>
          <w:tcPr>
            <w:tcW w:w="1275" w:type="dxa"/>
            <w:tcBorders>
              <w:top w:val="nil"/>
              <w:left w:val="nil"/>
              <w:bottom w:val="single" w:sz="4" w:space="0" w:color="auto"/>
              <w:right w:val="single" w:sz="4" w:space="0" w:color="auto"/>
            </w:tcBorders>
            <w:noWrap/>
            <w:vAlign w:val="bottom"/>
          </w:tcPr>
          <w:p w14:paraId="1CC987F2" w14:textId="77777777" w:rsidR="00CB2BCC" w:rsidRPr="00C877C2" w:rsidRDefault="00CB2BCC" w:rsidP="00CB2BCC">
            <w:pPr>
              <w:ind w:firstLineChars="200" w:firstLine="440"/>
              <w:rPr>
                <w:rFonts w:ascii="Calibri" w:hAnsi="Calibri"/>
                <w:color w:val="000000"/>
              </w:rPr>
            </w:pPr>
            <w:r w:rsidRPr="00C877C2">
              <w:rPr>
                <w:rFonts w:ascii="Calibri" w:hAnsi="Calibri"/>
                <w:color w:val="000000"/>
                <w:szCs w:val="22"/>
              </w:rPr>
              <w:t>104,6</w:t>
            </w:r>
          </w:p>
        </w:tc>
        <w:tc>
          <w:tcPr>
            <w:tcW w:w="1533" w:type="dxa"/>
            <w:tcBorders>
              <w:top w:val="nil"/>
              <w:left w:val="nil"/>
              <w:bottom w:val="single" w:sz="4" w:space="0" w:color="auto"/>
              <w:right w:val="single" w:sz="4" w:space="0" w:color="auto"/>
            </w:tcBorders>
            <w:noWrap/>
            <w:vAlign w:val="bottom"/>
          </w:tcPr>
          <w:p w14:paraId="1CC987F3" w14:textId="77777777" w:rsidR="00CB2BCC" w:rsidRPr="005A2933" w:rsidRDefault="00CB2BCC" w:rsidP="00CB2BCC">
            <w:pPr>
              <w:ind w:firstLineChars="200" w:firstLine="440"/>
              <w:rPr>
                <w:rFonts w:ascii="Calibri" w:hAnsi="Calibri"/>
                <w:color w:val="000000"/>
              </w:rPr>
            </w:pPr>
            <w:r w:rsidRPr="00C877C2">
              <w:rPr>
                <w:rFonts w:ascii="Calibri" w:hAnsi="Calibri"/>
                <w:color w:val="000000"/>
                <w:szCs w:val="22"/>
              </w:rPr>
              <w:t>100,2</w:t>
            </w:r>
          </w:p>
        </w:tc>
      </w:tr>
    </w:tbl>
    <w:p w14:paraId="1CC987F5" w14:textId="77777777" w:rsidR="00CB2BCC" w:rsidRPr="00122D60" w:rsidRDefault="00CB2BCC" w:rsidP="00122D60">
      <w:pPr>
        <w:pStyle w:val="nivel3"/>
        <w:rPr>
          <w:rFonts w:cs="Arial"/>
          <w:sz w:val="22"/>
          <w:szCs w:val="22"/>
        </w:rPr>
      </w:pPr>
      <w:r w:rsidRPr="00122D60">
        <w:rPr>
          <w:rFonts w:cs="Arial"/>
          <w:sz w:val="22"/>
          <w:szCs w:val="22"/>
        </w:rPr>
        <w:t xml:space="preserve">Os revestimentos são geralmente usados nos solos, rochas porosas, alteradas e/ou fraturadas para impedir o fechamento do furo, assim como na prevenção da perda de água de circulação. Os diâmetros usuais dos revestimentos, dentro de cada grupo, constam das Tabelas </w:t>
      </w:r>
      <w:r>
        <w:rPr>
          <w:rFonts w:cs="Arial"/>
          <w:sz w:val="22"/>
          <w:szCs w:val="22"/>
        </w:rPr>
        <w:t xml:space="preserve">B 5 </w:t>
      </w:r>
      <w:r w:rsidRPr="00122D60">
        <w:rPr>
          <w:rFonts w:cs="Arial"/>
          <w:sz w:val="22"/>
          <w:szCs w:val="22"/>
        </w:rPr>
        <w:t xml:space="preserve">e </w:t>
      </w:r>
      <w:r>
        <w:rPr>
          <w:rFonts w:cs="Arial"/>
          <w:sz w:val="22"/>
          <w:szCs w:val="22"/>
        </w:rPr>
        <w:t>B 6.</w:t>
      </w:r>
    </w:p>
    <w:p w14:paraId="1CC987F6" w14:textId="77777777" w:rsidR="00CB2BCC" w:rsidRPr="00122D60" w:rsidRDefault="00CB2BCC" w:rsidP="00122D60">
      <w:pPr>
        <w:pStyle w:val="nivel3"/>
        <w:rPr>
          <w:rFonts w:cs="Arial"/>
          <w:sz w:val="22"/>
          <w:szCs w:val="22"/>
        </w:rPr>
      </w:pPr>
      <w:r w:rsidRPr="00122D60">
        <w:rPr>
          <w:rFonts w:cs="Arial"/>
          <w:sz w:val="22"/>
          <w:szCs w:val="22"/>
        </w:rPr>
        <w:t>A redução do diâmetro do furo só poderá ser estabelecida por comprovada necessidade técnica.</w:t>
      </w:r>
    </w:p>
    <w:p w14:paraId="1CC987F7" w14:textId="77777777" w:rsidR="00CB2BCC" w:rsidRPr="00122D60" w:rsidRDefault="00CB2BCC" w:rsidP="00122D60">
      <w:pPr>
        <w:pStyle w:val="nivel3"/>
        <w:rPr>
          <w:rFonts w:cs="Arial"/>
          <w:sz w:val="22"/>
          <w:szCs w:val="22"/>
        </w:rPr>
      </w:pPr>
      <w:r w:rsidRPr="00122D60">
        <w:rPr>
          <w:rFonts w:cs="Arial"/>
          <w:sz w:val="22"/>
          <w:szCs w:val="22"/>
        </w:rPr>
        <w:t>A sonda deve ser ancorada no solo antes de se iniciar a perfuraçãodo mesmo com o objetivo de minimizar as vibrações e impedir seu deslocamento durante a execução da sondagem.</w:t>
      </w:r>
    </w:p>
    <w:p w14:paraId="1CC987F8" w14:textId="77777777" w:rsidR="00CB2BCC" w:rsidRPr="00122D60" w:rsidRDefault="00CB2BCC" w:rsidP="00122D60">
      <w:pPr>
        <w:pStyle w:val="nivel3"/>
        <w:rPr>
          <w:rFonts w:cs="Arial"/>
          <w:sz w:val="22"/>
          <w:szCs w:val="22"/>
        </w:rPr>
      </w:pPr>
      <w:r w:rsidRPr="00122D60">
        <w:rPr>
          <w:rFonts w:cs="Arial"/>
          <w:sz w:val="22"/>
          <w:szCs w:val="22"/>
        </w:rPr>
        <w:t>O avanço do barrilete e coroa da sonda rotativa deve ser a seco, quando acima do nível d’água, e com circulação d’água, abaixo dele.</w:t>
      </w:r>
    </w:p>
    <w:p w14:paraId="1CC987F9" w14:textId="77777777" w:rsidR="00CB2BCC" w:rsidRPr="00122D60" w:rsidRDefault="00CB2BCC" w:rsidP="00122D60">
      <w:pPr>
        <w:pStyle w:val="nivel3"/>
        <w:rPr>
          <w:rFonts w:cs="Arial"/>
          <w:sz w:val="22"/>
          <w:szCs w:val="22"/>
        </w:rPr>
      </w:pPr>
      <w:r w:rsidRPr="00122D60">
        <w:rPr>
          <w:rFonts w:cs="Arial"/>
          <w:sz w:val="22"/>
          <w:szCs w:val="22"/>
        </w:rPr>
        <w:t>As coroas para perfuração do(s) trecho(s) em rocha serão diamantadas e os barriletes do tipo duplo livre giratório, sem circulação de água pelos testemunhos.</w:t>
      </w:r>
    </w:p>
    <w:p w14:paraId="1CC987FA" w14:textId="77777777" w:rsidR="00CB2BCC" w:rsidRPr="00122D60" w:rsidRDefault="00CB2BCC" w:rsidP="00122D60">
      <w:pPr>
        <w:pStyle w:val="nivel3"/>
        <w:rPr>
          <w:rFonts w:cs="Arial"/>
          <w:sz w:val="22"/>
          <w:szCs w:val="22"/>
        </w:rPr>
      </w:pPr>
      <w:r w:rsidRPr="00122D60">
        <w:rPr>
          <w:rFonts w:cs="Arial"/>
          <w:sz w:val="22"/>
          <w:szCs w:val="22"/>
        </w:rPr>
        <w:t>As perfurações devem obedecer aos diâmetros especificados para o serviço e podem ser modificados apenas por expressa solicitação da Fiscalização.</w:t>
      </w:r>
    </w:p>
    <w:p w14:paraId="1CC987FB" w14:textId="77777777" w:rsidR="00CB2BCC" w:rsidRPr="00122D60" w:rsidRDefault="00CB2BCC" w:rsidP="00122D60">
      <w:pPr>
        <w:pStyle w:val="nivel3"/>
        <w:rPr>
          <w:rFonts w:cs="Arial"/>
          <w:sz w:val="22"/>
          <w:szCs w:val="22"/>
        </w:rPr>
      </w:pPr>
      <w:r w:rsidRPr="00122D60">
        <w:rPr>
          <w:rFonts w:cs="Arial"/>
          <w:sz w:val="22"/>
          <w:szCs w:val="22"/>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CC987FC" w14:textId="77777777" w:rsidR="00CB2BCC" w:rsidRPr="00122D60" w:rsidRDefault="00CB2BCC" w:rsidP="00122D60">
      <w:pPr>
        <w:pStyle w:val="nivel3"/>
        <w:rPr>
          <w:rFonts w:cs="Arial"/>
          <w:sz w:val="22"/>
          <w:szCs w:val="22"/>
        </w:rPr>
      </w:pPr>
      <w:r w:rsidRPr="00122D60">
        <w:rPr>
          <w:rFonts w:cs="Arial"/>
          <w:sz w:val="22"/>
          <w:szCs w:val="22"/>
        </w:rPr>
        <w:t>Devem ser tomados todos os cuidados, de modo que a recuperação dos testemunhos não seja inferior a 90% por manobra, salvo quando este nível for considerado inviável durante a execução.</w:t>
      </w:r>
    </w:p>
    <w:p w14:paraId="1CC987FD" w14:textId="77777777" w:rsidR="00CB2BCC" w:rsidRPr="00122D60" w:rsidRDefault="00CB2BCC" w:rsidP="00122D60">
      <w:pPr>
        <w:pStyle w:val="nivel3"/>
        <w:rPr>
          <w:rFonts w:cs="Arial"/>
          <w:sz w:val="22"/>
          <w:szCs w:val="22"/>
        </w:rPr>
      </w:pPr>
      <w:r w:rsidRPr="00122D60">
        <w:rPr>
          <w:rFonts w:cs="Arial"/>
          <w:sz w:val="22"/>
          <w:szCs w:val="22"/>
        </w:rPr>
        <w:t>As amostras devem ser acondicionadas em caixas adequadas de maneira a garantir sua imobilidade durante o manuseio.</w:t>
      </w:r>
    </w:p>
    <w:p w14:paraId="1CC987FE" w14:textId="77777777" w:rsidR="00CB2BCC" w:rsidRPr="00122D60" w:rsidRDefault="00CB2BCC" w:rsidP="00122D60">
      <w:pPr>
        <w:pStyle w:val="nivel3"/>
        <w:rPr>
          <w:rFonts w:cs="Arial"/>
          <w:sz w:val="22"/>
          <w:szCs w:val="22"/>
        </w:rPr>
      </w:pPr>
      <w:r w:rsidRPr="00122D60">
        <w:rPr>
          <w:rFonts w:cs="Arial"/>
          <w:sz w:val="22"/>
          <w:szCs w:val="22"/>
        </w:rPr>
        <w:t xml:space="preserve">No caso </w:t>
      </w:r>
      <w:proofErr w:type="gramStart"/>
      <w:r w:rsidRPr="00122D60">
        <w:rPr>
          <w:rFonts w:cs="Arial"/>
          <w:sz w:val="22"/>
          <w:szCs w:val="22"/>
        </w:rPr>
        <w:t>da</w:t>
      </w:r>
      <w:proofErr w:type="gramEnd"/>
      <w:r w:rsidRPr="00122D60">
        <w:rPr>
          <w:rFonts w:cs="Arial"/>
          <w:sz w:val="22"/>
          <w:szCs w:val="22"/>
        </w:rPr>
        <w:t xml:space="preserve"> sondagem atingir o nível freático a sua profundidade deverá ser anotada.</w:t>
      </w:r>
    </w:p>
    <w:p w14:paraId="1CC987FF" w14:textId="77777777" w:rsidR="00CB2BCC" w:rsidRPr="00122D60" w:rsidRDefault="00CB2BCC" w:rsidP="00122D60">
      <w:pPr>
        <w:pStyle w:val="nivel3"/>
        <w:rPr>
          <w:rFonts w:cs="Arial"/>
          <w:sz w:val="22"/>
          <w:szCs w:val="22"/>
        </w:rPr>
      </w:pPr>
      <w:r w:rsidRPr="00122D60">
        <w:rPr>
          <w:rFonts w:cs="Arial"/>
          <w:sz w:val="22"/>
          <w:szCs w:val="22"/>
        </w:rPr>
        <w:t>No caso de ser empregado, num determinado intervalo, o avanço da sondagem pelo processo a percussão, as amostras assim coletadas serão acondicionadas nas mesmas caixas das amostras de rotação, segundo a seqüência de sua obtenção.</w:t>
      </w:r>
    </w:p>
    <w:p w14:paraId="1CC98800" w14:textId="77777777" w:rsidR="00CB2BCC" w:rsidRPr="00122D60" w:rsidRDefault="00CB2BCC" w:rsidP="00122D60">
      <w:pPr>
        <w:pStyle w:val="nivel3"/>
        <w:rPr>
          <w:rFonts w:cs="Arial"/>
          <w:sz w:val="22"/>
          <w:szCs w:val="22"/>
        </w:rPr>
      </w:pPr>
      <w:r w:rsidRPr="00122D60">
        <w:rPr>
          <w:rFonts w:cs="Arial"/>
          <w:sz w:val="22"/>
          <w:szCs w:val="22"/>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CC98801" w14:textId="77777777" w:rsidR="00CB2BCC" w:rsidRPr="00122D60" w:rsidRDefault="00CB2BCC" w:rsidP="00122D60">
      <w:pPr>
        <w:pStyle w:val="nivel3"/>
        <w:rPr>
          <w:rFonts w:cs="Arial"/>
          <w:sz w:val="22"/>
          <w:szCs w:val="22"/>
        </w:rPr>
      </w:pPr>
      <w:r w:rsidRPr="00122D60">
        <w:rPr>
          <w:rFonts w:cs="Arial"/>
          <w:sz w:val="22"/>
          <w:szCs w:val="22"/>
        </w:rPr>
        <w:t xml:space="preserve">Toda e qualquer irregularidade observada no furo, tais como mudança de cor e perda de água de circulação, fendas, passagens moles, desmoronamentos das </w:t>
      </w:r>
      <w:proofErr w:type="gramStart"/>
      <w:r w:rsidRPr="00122D60">
        <w:rPr>
          <w:rFonts w:cs="Arial"/>
          <w:sz w:val="22"/>
          <w:szCs w:val="22"/>
        </w:rPr>
        <w:t>paredes, etc.</w:t>
      </w:r>
      <w:proofErr w:type="gramEnd"/>
      <w:r w:rsidRPr="00122D60">
        <w:rPr>
          <w:rFonts w:cs="Arial"/>
          <w:sz w:val="22"/>
          <w:szCs w:val="22"/>
        </w:rPr>
        <w:t>, deverá ser anotada, indicando-se a profundidade correspondente.</w:t>
      </w:r>
    </w:p>
    <w:p w14:paraId="1CC98802" w14:textId="77777777" w:rsidR="00CB2BCC" w:rsidRPr="00122D60" w:rsidRDefault="00CB2BCC" w:rsidP="00122D60">
      <w:pPr>
        <w:pStyle w:val="nivel3"/>
        <w:rPr>
          <w:rFonts w:cs="Arial"/>
          <w:sz w:val="22"/>
          <w:szCs w:val="22"/>
        </w:rPr>
      </w:pPr>
      <w:r w:rsidRPr="00122D60">
        <w:rPr>
          <w:rFonts w:cs="Arial"/>
          <w:sz w:val="22"/>
          <w:szCs w:val="22"/>
        </w:rPr>
        <w:t>Se ocorrer mudança de material no intervalo de 1 m de perfuração, devem ser coletadas tantas amostras quantos forem os diferentes tipos de materiais encontrados.</w:t>
      </w:r>
    </w:p>
    <w:p w14:paraId="1CC98803" w14:textId="77777777" w:rsidR="00CB2BCC" w:rsidRPr="00122D60" w:rsidRDefault="00CB2BCC" w:rsidP="00122D60">
      <w:pPr>
        <w:pStyle w:val="nivel3"/>
        <w:rPr>
          <w:rFonts w:cs="Arial"/>
          <w:sz w:val="22"/>
          <w:szCs w:val="22"/>
        </w:rPr>
      </w:pPr>
      <w:r w:rsidRPr="00122D60">
        <w:rPr>
          <w:rFonts w:cs="Arial"/>
          <w:sz w:val="22"/>
          <w:szCs w:val="22"/>
        </w:rPr>
        <w:t>As amostras assim coletadas devem ser imediatamente acondicionadas em recipientes de vidro ou plástico rígido com tampa hermética, mantendo-se intactos os cilindros de solos obtidos.</w:t>
      </w:r>
    </w:p>
    <w:p w14:paraId="1CC98804" w14:textId="77777777" w:rsidR="00CB2BCC" w:rsidRPr="00122D60" w:rsidRDefault="00CB2BCC" w:rsidP="00122D60">
      <w:pPr>
        <w:pStyle w:val="nivel3"/>
        <w:rPr>
          <w:rFonts w:cs="Arial"/>
          <w:sz w:val="22"/>
          <w:szCs w:val="22"/>
        </w:rPr>
      </w:pPr>
      <w:r w:rsidRPr="00122D60">
        <w:rPr>
          <w:rFonts w:cs="Arial"/>
          <w:sz w:val="22"/>
          <w:szCs w:val="22"/>
        </w:rPr>
        <w:t>Esta amostra deve ser identificada por duas etiquetas em papel-cartão, uma interna e outra colada na parte externa do recipiente, com os seguintes dados:</w:t>
      </w:r>
    </w:p>
    <w:p w14:paraId="1CC98805"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Nome da obra;</w:t>
      </w:r>
    </w:p>
    <w:p w14:paraId="1CC98806"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Nome do local;</w:t>
      </w:r>
    </w:p>
    <w:p w14:paraId="1CC98807"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Número da sondagem;</w:t>
      </w:r>
    </w:p>
    <w:p w14:paraId="1CC98808"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Número da amostra;</w:t>
      </w:r>
    </w:p>
    <w:p w14:paraId="1CC98809"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Profundidade da amostra;</w:t>
      </w:r>
    </w:p>
    <w:p w14:paraId="1CC9880A"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Número de golpes e penetração do ensaio;</w:t>
      </w:r>
    </w:p>
    <w:p w14:paraId="1CC9880B"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Data;</w:t>
      </w:r>
    </w:p>
    <w:p w14:paraId="1CC9880C"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Operador.</w:t>
      </w:r>
    </w:p>
    <w:p w14:paraId="1CC9880D" w14:textId="77777777" w:rsidR="00CB2BCC" w:rsidRPr="00122D60" w:rsidRDefault="00CB2BCC" w:rsidP="00122D60">
      <w:pPr>
        <w:pStyle w:val="nivel3"/>
        <w:rPr>
          <w:rFonts w:cs="Arial"/>
          <w:sz w:val="22"/>
          <w:szCs w:val="22"/>
        </w:rPr>
      </w:pPr>
      <w:r w:rsidRPr="00122D60">
        <w:rPr>
          <w:rFonts w:cs="Arial"/>
          <w:sz w:val="22"/>
          <w:szCs w:val="22"/>
        </w:rPr>
        <w:t>Será considerada a paralisação e conseqüente conclusão da sondagem de acordo com o seguinte critério:</w:t>
      </w:r>
    </w:p>
    <w:p w14:paraId="1CC9880E"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Quando durante o processo da perfuração ocorrer 5 m consecutivos de rocha sã com recuperação mínima de 90%;</w:t>
      </w:r>
    </w:p>
    <w:p w14:paraId="1CC9880F" w14:textId="77777777" w:rsidR="00CB2BCC" w:rsidRPr="00122D60" w:rsidRDefault="00CB2BCC" w:rsidP="00122D60">
      <w:pPr>
        <w:pStyle w:val="Ttulo4"/>
        <w:numPr>
          <w:ilvl w:val="0"/>
          <w:numId w:val="6"/>
        </w:numPr>
        <w:rPr>
          <w:rFonts w:ascii="Tahoma" w:hAnsi="Tahoma"/>
          <w:b/>
          <w:sz w:val="22"/>
        </w:rPr>
      </w:pPr>
      <w:r w:rsidRPr="00122D60">
        <w:rPr>
          <w:rFonts w:cs="Arial"/>
          <w:sz w:val="22"/>
          <w:szCs w:val="22"/>
        </w:rPr>
        <w:t>Por solicitação da Fiscalização.</w:t>
      </w:r>
    </w:p>
    <w:p w14:paraId="1CC98810" w14:textId="77777777" w:rsidR="00CB2BCC" w:rsidRPr="00122D60" w:rsidRDefault="00CB2BCC" w:rsidP="00122D60">
      <w:pPr>
        <w:pStyle w:val="nivel2"/>
        <w:rPr>
          <w:rFonts w:cs="Arial"/>
          <w:sz w:val="22"/>
          <w:szCs w:val="22"/>
        </w:rPr>
      </w:pPr>
      <w:r w:rsidRPr="00122D60">
        <w:rPr>
          <w:rFonts w:cs="Arial"/>
          <w:sz w:val="22"/>
          <w:szCs w:val="22"/>
        </w:rPr>
        <w:t xml:space="preserve">Os resultados preliminares de cada sondagem devem ser apresentados, para uma primeira análise, em boletim, onde </w:t>
      </w:r>
      <w:r>
        <w:rPr>
          <w:rFonts w:cs="Arial"/>
          <w:sz w:val="22"/>
          <w:szCs w:val="22"/>
        </w:rPr>
        <w:t>deve constar no mínimo:</w:t>
      </w:r>
    </w:p>
    <w:p w14:paraId="1CC98811"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Identificação e localização do furo;</w:t>
      </w:r>
    </w:p>
    <w:p w14:paraId="1CC98812"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Inclinação do furo;</w:t>
      </w:r>
    </w:p>
    <w:p w14:paraId="1CC98813"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Diâmetro da sondagem e tipo de barrilete utilizado;</w:t>
      </w:r>
    </w:p>
    <w:p w14:paraId="1CC98814"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Tipo e número da coroa utilizada;</w:t>
      </w:r>
    </w:p>
    <w:p w14:paraId="1CC98815"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Cota da boca do furo;</w:t>
      </w:r>
    </w:p>
    <w:p w14:paraId="1CC98816"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Data de execução;</w:t>
      </w:r>
    </w:p>
    <w:p w14:paraId="1CC98817"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Nome do sondador e da Contratada;</w:t>
      </w:r>
    </w:p>
    <w:p w14:paraId="1CC98818"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Tabela com observações de nível d’água como: data, hora, leitura, profundidade do furo, anomalias detectadas, profundidade de água, instalação de obturador com sua cota e outras;</w:t>
      </w:r>
    </w:p>
    <w:p w14:paraId="1CC98819"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Posição final do revestimento;</w:t>
      </w:r>
    </w:p>
    <w:p w14:paraId="1CC9881A"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Resultados dos ensaios de penetração, com o número de golpes e avanço, em centímetros, para cada terço de penetração do amostrador;</w:t>
      </w:r>
    </w:p>
    <w:p w14:paraId="1CC9881B"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Resultados dos ensaios de lavagem por tempo, indicando intervalo ensaiado, avanço em centímetros e tempo de operação da peça de lavagem;</w:t>
      </w:r>
    </w:p>
    <w:p w14:paraId="1CC9881C"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Número de peças de testemunhos por metro, segundo trechos de mesmo padrão de fraturamento;</w:t>
      </w:r>
    </w:p>
    <w:p w14:paraId="1CC9881D"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Recuperação dos testemunhos em porcentagem, por manobra.</w:t>
      </w:r>
    </w:p>
    <w:p w14:paraId="1CC9881E"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No caso de não ter sido atingido o nível da água, deverá constar no boletim.</w:t>
      </w:r>
    </w:p>
    <w:p w14:paraId="1CC9881F" w14:textId="77777777" w:rsidR="00CB2BCC" w:rsidRPr="00122D60" w:rsidRDefault="00CB2BCC" w:rsidP="00122D60">
      <w:pPr>
        <w:pStyle w:val="nivel2"/>
        <w:rPr>
          <w:rFonts w:cs="Arial"/>
          <w:sz w:val="22"/>
          <w:szCs w:val="22"/>
        </w:rPr>
      </w:pPr>
      <w:r w:rsidRPr="00122D60">
        <w:rPr>
          <w:rFonts w:cs="Arial"/>
          <w:sz w:val="22"/>
          <w:szCs w:val="22"/>
        </w:rPr>
        <w:t xml:space="preserve">Os </w:t>
      </w:r>
      <w:proofErr w:type="gramStart"/>
      <w:r w:rsidRPr="00122D60">
        <w:rPr>
          <w:rFonts w:cs="Arial"/>
          <w:sz w:val="22"/>
          <w:szCs w:val="22"/>
        </w:rPr>
        <w:t>resultados finais</w:t>
      </w:r>
      <w:proofErr w:type="gramEnd"/>
      <w:r w:rsidRPr="00122D60">
        <w:rPr>
          <w:rFonts w:cs="Arial"/>
          <w:sz w:val="22"/>
          <w:szCs w:val="22"/>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CC98820" w14:textId="77777777" w:rsidR="00CB2BCC" w:rsidRPr="00122D60" w:rsidRDefault="00CB2BCC" w:rsidP="00122D60">
      <w:pPr>
        <w:pStyle w:val="nivel2"/>
        <w:rPr>
          <w:rFonts w:cs="Arial"/>
          <w:sz w:val="22"/>
          <w:szCs w:val="22"/>
        </w:rPr>
      </w:pPr>
      <w:r w:rsidRPr="00122D60">
        <w:rPr>
          <w:rFonts w:cs="Arial"/>
          <w:sz w:val="22"/>
          <w:szCs w:val="22"/>
        </w:rPr>
        <w:t>O número de peças e a recuperação dos testemunhos deverão constar de gráficos, com suas variações em profundidade.</w:t>
      </w:r>
    </w:p>
    <w:p w14:paraId="1CC98821" w14:textId="77777777" w:rsidR="00CB2BCC" w:rsidRPr="00122D60" w:rsidRDefault="00CB2BCC" w:rsidP="00122D60">
      <w:pPr>
        <w:pStyle w:val="nivel2"/>
        <w:rPr>
          <w:rFonts w:cs="Arial"/>
          <w:sz w:val="22"/>
          <w:szCs w:val="22"/>
        </w:rPr>
      </w:pPr>
      <w:r w:rsidRPr="00122D60">
        <w:rPr>
          <w:rFonts w:cs="Arial"/>
          <w:sz w:val="22"/>
          <w:szCs w:val="22"/>
        </w:rPr>
        <w:t>Com o relatório final devem ser entregues os seguintes documentos:</w:t>
      </w:r>
    </w:p>
    <w:p w14:paraId="1CC98822"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Texto explicativo com critérios de descrição das amostras, correlações e interpretações adotadas nos testes executados, bem como outras informações de interesse e, bem assim, o nome e a assinatura do responsável pela Contratada;</w:t>
      </w:r>
    </w:p>
    <w:p w14:paraId="1CC98823" w14:textId="77777777" w:rsidR="00CB2BCC" w:rsidRPr="00122D60" w:rsidRDefault="00CB2BCC" w:rsidP="00122D60">
      <w:pPr>
        <w:pStyle w:val="Ttulo4"/>
        <w:numPr>
          <w:ilvl w:val="0"/>
          <w:numId w:val="6"/>
        </w:numPr>
        <w:rPr>
          <w:rFonts w:cs="Arial"/>
          <w:sz w:val="22"/>
          <w:szCs w:val="22"/>
        </w:rPr>
      </w:pPr>
      <w:r w:rsidRPr="00122D60">
        <w:rPr>
          <w:rFonts w:cs="Arial"/>
          <w:sz w:val="22"/>
          <w:szCs w:val="22"/>
        </w:rPr>
        <w:t>Planta de localização das sondagens ou, na falta desta, esboço com distâncias aproximadas e as amarrações possíveis.</w:t>
      </w:r>
    </w:p>
    <w:sectPr w:rsidR="00CB2BCC" w:rsidRPr="00122D60" w:rsidSect="0057402E">
      <w:headerReference w:type="default" r:id="rId21"/>
      <w:footerReference w:type="default" r:id="rId2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98826" w14:textId="77777777" w:rsidR="00CB2BCC" w:rsidRDefault="00CB2BCC">
      <w:r>
        <w:separator/>
      </w:r>
    </w:p>
  </w:endnote>
  <w:endnote w:type="continuationSeparator" w:id="0">
    <w:p w14:paraId="1CC98827" w14:textId="77777777" w:rsidR="00CB2BCC" w:rsidRDefault="00CB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OpenSymbol">
    <w:panose1 w:val="020B0604020202020204"/>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9882D" w14:textId="2C0C4B7A" w:rsidR="00CB2BCC" w:rsidRDefault="00CB2BCC"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TR EET – </w:t>
    </w:r>
    <w:r w:rsidR="00E679BE">
      <w:rPr>
        <w:sz w:val="16"/>
        <w:szCs w:val="16"/>
      </w:rPr>
      <w:t>XXX</w:t>
    </w:r>
    <w:r>
      <w:rPr>
        <w:sz w:val="16"/>
        <w:szCs w:val="16"/>
      </w:rPr>
      <w:t>/20</w:t>
    </w:r>
    <w:r w:rsidR="00E679BE">
      <w:rPr>
        <w:sz w:val="16"/>
        <w:szCs w:val="16"/>
      </w:rPr>
      <w:t>22</w:t>
    </w:r>
  </w:p>
  <w:p w14:paraId="1CC9882E" w14:textId="77777777" w:rsidR="00CB2BCC" w:rsidRPr="00C34194" w:rsidRDefault="00CB2BCC"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sidR="00975104">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sidR="00975104">
      <w:rPr>
        <w:rStyle w:val="Nmerodepgina"/>
        <w:noProof/>
        <w:sz w:val="16"/>
        <w:szCs w:val="16"/>
      </w:rPr>
      <w:t>29</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8824" w14:textId="77777777" w:rsidR="00CB2BCC" w:rsidRDefault="00CB2BCC">
      <w:r>
        <w:separator/>
      </w:r>
    </w:p>
  </w:footnote>
  <w:footnote w:type="continuationSeparator" w:id="0">
    <w:p w14:paraId="1CC98825" w14:textId="77777777" w:rsidR="00CB2BCC" w:rsidRDefault="00CB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98828" w14:textId="3C646484" w:rsidR="00CB2BCC" w:rsidRPr="00975104" w:rsidRDefault="00E679BE" w:rsidP="00390405">
    <w:pPr>
      <w:pStyle w:val="Cabealho"/>
      <w:jc w:val="right"/>
      <w:rPr>
        <w:rFonts w:cs="Arial"/>
        <w:sz w:val="20"/>
      </w:rPr>
    </w:pPr>
    <w:r>
      <w:rPr>
        <w:noProof/>
        <w:sz w:val="20"/>
      </w:rPr>
    </w:r>
    <w:r w:rsidR="00E679BE">
      <w:rPr>
        <w:noProof/>
        <w:sz w:val="20"/>
      </w:rPr>
      <w:object w:dxaOrig="1440" w:dyaOrig="1440" w14:anchorId="1CC98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9pt;margin-top:.9pt;width:198pt;height:35.35pt;z-index:251660288;mso-wrap-edited:f;mso-width-percent:0;mso-height-percent:0;mso-width-percent:0;mso-height-percent:0">
          <v:imagedata r:id="rId1" o:title=""/>
          <w10:wrap type="topAndBottom"/>
        </v:shape>
        <o:OLEObject Type="Embed" ProgID="PBrush" ShapeID="_x0000_s1025" DrawAspect="Content" ObjectID="_1716380478" r:id="rId2"/>
      </w:object>
    </w:r>
    <w:r>
      <w:rPr>
        <w:noProof/>
        <w:sz w:val="20"/>
      </w:rPr>
      <w:t>CEINF</w:t>
    </w:r>
    <w:r w:rsidR="00CB2BCC" w:rsidRPr="00975104">
      <w:rPr>
        <w:rFonts w:cs="Arial"/>
        <w:sz w:val="20"/>
      </w:rPr>
      <w:t xml:space="preserve"> Pregão Eletrônico </w:t>
    </w:r>
    <w:r>
      <w:rPr>
        <w:rFonts w:cs="Arial"/>
        <w:sz w:val="20"/>
      </w:rPr>
      <w:t>XXX</w:t>
    </w:r>
    <w:r w:rsidR="00975104">
      <w:rPr>
        <w:rFonts w:cs="Arial"/>
        <w:sz w:val="20"/>
      </w:rPr>
      <w:t>/</w:t>
    </w:r>
    <w:r>
      <w:rPr>
        <w:rFonts w:cs="Arial"/>
        <w:sz w:val="20"/>
      </w:rPr>
      <w:t>XXXX</w:t>
    </w:r>
    <w:r w:rsidR="00975104">
      <w:rPr>
        <w:rFonts w:cs="Arial"/>
        <w:sz w:val="20"/>
      </w:rPr>
      <w:t>-20</w:t>
    </w:r>
    <w:r>
      <w:rPr>
        <w:rFonts w:cs="Arial"/>
        <w:sz w:val="20"/>
      </w:rPr>
      <w:t>22</w:t>
    </w:r>
  </w:p>
  <w:p w14:paraId="1CC98829" w14:textId="77777777" w:rsidR="00CB2BCC" w:rsidRPr="00975104" w:rsidRDefault="00CB2BCC" w:rsidP="00390405">
    <w:pPr>
      <w:pStyle w:val="Cabealho"/>
      <w:jc w:val="right"/>
      <w:rPr>
        <w:rFonts w:cs="Arial"/>
        <w:sz w:val="20"/>
      </w:rPr>
    </w:pPr>
    <w:r w:rsidRPr="00975104">
      <w:rPr>
        <w:rFonts w:cs="Arial"/>
        <w:sz w:val="20"/>
      </w:rPr>
      <w:t>Serviços Técnicos de Engenharia</w:t>
    </w:r>
  </w:p>
  <w:p w14:paraId="1CC9882A" w14:textId="77777777" w:rsidR="00CB2BCC" w:rsidRPr="00CF330F" w:rsidRDefault="00CB2BCC" w:rsidP="00390405">
    <w:pPr>
      <w:pStyle w:val="Cabealho"/>
    </w:pPr>
  </w:p>
  <w:p w14:paraId="1CC9882B" w14:textId="77777777" w:rsidR="00CB2BCC" w:rsidRPr="00CF330F" w:rsidRDefault="00CB2BCC" w:rsidP="00390405">
    <w:pPr>
      <w:pStyle w:val="Cabealho"/>
    </w:pPr>
  </w:p>
  <w:p w14:paraId="1CC9882C" w14:textId="77777777" w:rsidR="00CB2BCC" w:rsidRDefault="00CB2BC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9446C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4081FC1"/>
    <w:multiLevelType w:val="hybridMultilevel"/>
    <w:tmpl w:val="E8FCB42E"/>
    <w:lvl w:ilvl="0" w:tplc="4AAAB0BA">
      <w:numFmt w:val="bullet"/>
      <w:lvlText w:val="-"/>
      <w:lvlJc w:val="left"/>
      <w:pPr>
        <w:tabs>
          <w:tab w:val="num" w:pos="1134"/>
        </w:tabs>
        <w:ind w:left="1134" w:hanging="567"/>
      </w:pPr>
      <w:rPr>
        <w:rFonts w:hint="default"/>
      </w:rPr>
    </w:lvl>
    <w:lvl w:ilvl="1" w:tplc="3FC2696A">
      <w:numFmt w:val="bullet"/>
      <w:lvlText w:val="•"/>
      <w:lvlJc w:val="left"/>
      <w:pPr>
        <w:ind w:left="2574" w:hanging="360"/>
      </w:pPr>
      <w:rPr>
        <w:rFonts w:ascii="Arial" w:eastAsia="Times New Roman" w:hAnsi="Arial" w:hint="default"/>
      </w:rPr>
    </w:lvl>
    <w:lvl w:ilvl="2" w:tplc="04160005" w:tentative="1">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5" w15:restartNumberingAfterBreak="0">
    <w:nsid w:val="421975FD"/>
    <w:multiLevelType w:val="multilevel"/>
    <w:tmpl w:val="86A4CA6C"/>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46"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47" w15:restartNumberingAfterBreak="0">
    <w:nsid w:val="7902097C"/>
    <w:multiLevelType w:val="hybridMultilevel"/>
    <w:tmpl w:val="81B0D108"/>
    <w:lvl w:ilvl="0" w:tplc="9C3E7FB8">
      <w:start w:val="1"/>
      <w:numFmt w:val="bullet"/>
      <w:pStyle w:val="Ttulo4"/>
      <w:lvlText w:val=""/>
      <w:lvlJc w:val="left"/>
      <w:pPr>
        <w:ind w:left="1854" w:hanging="360"/>
      </w:pPr>
      <w:rPr>
        <w:rFonts w:ascii="Symbol" w:hAnsi="Symbol" w:hint="default"/>
      </w:rPr>
    </w:lvl>
    <w:lvl w:ilvl="1" w:tplc="3FC2696A">
      <w:numFmt w:val="bullet"/>
      <w:lvlText w:val="•"/>
      <w:lvlJc w:val="left"/>
      <w:pPr>
        <w:ind w:left="2574" w:hanging="360"/>
      </w:pPr>
      <w:rPr>
        <w:rFonts w:ascii="Arial" w:eastAsia="Times New Roman" w:hAnsi="Arial" w:hint="default"/>
      </w:rPr>
    </w:lvl>
    <w:lvl w:ilvl="2" w:tplc="04160005" w:tentative="1">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num w:numId="1" w16cid:durableId="965501180">
    <w:abstractNumId w:val="45"/>
  </w:num>
  <w:num w:numId="2" w16cid:durableId="1712339982">
    <w:abstractNumId w:val="43"/>
  </w:num>
  <w:num w:numId="3" w16cid:durableId="2061396277">
    <w:abstractNumId w:val="44"/>
  </w:num>
  <w:num w:numId="4" w16cid:durableId="1266883942">
    <w:abstractNumId w:val="47"/>
  </w:num>
  <w:num w:numId="5" w16cid:durableId="766461436">
    <w:abstractNumId w:val="41"/>
  </w:num>
  <w:num w:numId="6" w16cid:durableId="999310587">
    <w:abstractNumId w:val="42"/>
  </w:num>
  <w:num w:numId="7" w16cid:durableId="267392299">
    <w:abstractNumId w:val="45"/>
  </w:num>
  <w:num w:numId="8" w16cid:durableId="1215193400">
    <w:abstractNumId w:val="45"/>
  </w:num>
  <w:num w:numId="9" w16cid:durableId="1823036808">
    <w:abstractNumId w:val="45"/>
  </w:num>
  <w:num w:numId="10" w16cid:durableId="64739361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5B00"/>
    <w:rsid w:val="00001EC4"/>
    <w:rsid w:val="000035EA"/>
    <w:rsid w:val="000408F3"/>
    <w:rsid w:val="00054551"/>
    <w:rsid w:val="00060315"/>
    <w:rsid w:val="00091C9F"/>
    <w:rsid w:val="000A31BA"/>
    <w:rsid w:val="000B02AE"/>
    <w:rsid w:val="000B5312"/>
    <w:rsid w:val="000C73C8"/>
    <w:rsid w:val="000D5468"/>
    <w:rsid w:val="000D6906"/>
    <w:rsid w:val="000F3C95"/>
    <w:rsid w:val="00104DED"/>
    <w:rsid w:val="001065B2"/>
    <w:rsid w:val="00112667"/>
    <w:rsid w:val="00112675"/>
    <w:rsid w:val="001132EC"/>
    <w:rsid w:val="00122D60"/>
    <w:rsid w:val="001275C9"/>
    <w:rsid w:val="00135194"/>
    <w:rsid w:val="0013589B"/>
    <w:rsid w:val="00141B74"/>
    <w:rsid w:val="00151403"/>
    <w:rsid w:val="0016557D"/>
    <w:rsid w:val="0017325C"/>
    <w:rsid w:val="00174DEF"/>
    <w:rsid w:val="00180954"/>
    <w:rsid w:val="001864F0"/>
    <w:rsid w:val="00192EC7"/>
    <w:rsid w:val="001C22CD"/>
    <w:rsid w:val="001C2959"/>
    <w:rsid w:val="001D2488"/>
    <w:rsid w:val="001D5365"/>
    <w:rsid w:val="001E440B"/>
    <w:rsid w:val="001F2EE8"/>
    <w:rsid w:val="0020148D"/>
    <w:rsid w:val="00202761"/>
    <w:rsid w:val="00206C17"/>
    <w:rsid w:val="002143D2"/>
    <w:rsid w:val="00220263"/>
    <w:rsid w:val="002234E4"/>
    <w:rsid w:val="002466DA"/>
    <w:rsid w:val="0028795A"/>
    <w:rsid w:val="00293F07"/>
    <w:rsid w:val="002B47EE"/>
    <w:rsid w:val="002B6400"/>
    <w:rsid w:val="002C0756"/>
    <w:rsid w:val="002D07B2"/>
    <w:rsid w:val="002D2C0F"/>
    <w:rsid w:val="002E1321"/>
    <w:rsid w:val="002E7591"/>
    <w:rsid w:val="002F5E52"/>
    <w:rsid w:val="00304BD6"/>
    <w:rsid w:val="003050D1"/>
    <w:rsid w:val="003136BA"/>
    <w:rsid w:val="00323469"/>
    <w:rsid w:val="003270E6"/>
    <w:rsid w:val="00331421"/>
    <w:rsid w:val="00334FDE"/>
    <w:rsid w:val="00335797"/>
    <w:rsid w:val="003376F7"/>
    <w:rsid w:val="00340BD9"/>
    <w:rsid w:val="003604F5"/>
    <w:rsid w:val="00367DEB"/>
    <w:rsid w:val="00373B7D"/>
    <w:rsid w:val="00386B69"/>
    <w:rsid w:val="00390405"/>
    <w:rsid w:val="003A019C"/>
    <w:rsid w:val="003A7DBD"/>
    <w:rsid w:val="003B4136"/>
    <w:rsid w:val="003D17D3"/>
    <w:rsid w:val="003D4121"/>
    <w:rsid w:val="003D4C38"/>
    <w:rsid w:val="003D5884"/>
    <w:rsid w:val="003D6549"/>
    <w:rsid w:val="003F1C2F"/>
    <w:rsid w:val="00413CAA"/>
    <w:rsid w:val="004156CF"/>
    <w:rsid w:val="00425CC7"/>
    <w:rsid w:val="00427DCC"/>
    <w:rsid w:val="004316EA"/>
    <w:rsid w:val="004440B8"/>
    <w:rsid w:val="00462E1A"/>
    <w:rsid w:val="00471A0B"/>
    <w:rsid w:val="004737F5"/>
    <w:rsid w:val="00481500"/>
    <w:rsid w:val="00483AE8"/>
    <w:rsid w:val="004857B7"/>
    <w:rsid w:val="00494093"/>
    <w:rsid w:val="00494DA6"/>
    <w:rsid w:val="004A1B45"/>
    <w:rsid w:val="004A31ED"/>
    <w:rsid w:val="004A5421"/>
    <w:rsid w:val="004A724E"/>
    <w:rsid w:val="004B00FD"/>
    <w:rsid w:val="004C29ED"/>
    <w:rsid w:val="004C797F"/>
    <w:rsid w:val="004E504D"/>
    <w:rsid w:val="004F528C"/>
    <w:rsid w:val="00501289"/>
    <w:rsid w:val="00512DB6"/>
    <w:rsid w:val="00516029"/>
    <w:rsid w:val="00542F52"/>
    <w:rsid w:val="00551709"/>
    <w:rsid w:val="00554638"/>
    <w:rsid w:val="00557D0A"/>
    <w:rsid w:val="00570BC8"/>
    <w:rsid w:val="0057402E"/>
    <w:rsid w:val="0058592C"/>
    <w:rsid w:val="005909BA"/>
    <w:rsid w:val="00593C2A"/>
    <w:rsid w:val="00594ECA"/>
    <w:rsid w:val="00596D73"/>
    <w:rsid w:val="005A21FA"/>
    <w:rsid w:val="005A2933"/>
    <w:rsid w:val="005B1E2F"/>
    <w:rsid w:val="005C394E"/>
    <w:rsid w:val="005D7E32"/>
    <w:rsid w:val="005F2126"/>
    <w:rsid w:val="005F2D0F"/>
    <w:rsid w:val="00607502"/>
    <w:rsid w:val="006309AF"/>
    <w:rsid w:val="00630D69"/>
    <w:rsid w:val="00633147"/>
    <w:rsid w:val="006472E7"/>
    <w:rsid w:val="006513B6"/>
    <w:rsid w:val="00651662"/>
    <w:rsid w:val="0066143E"/>
    <w:rsid w:val="00672A6D"/>
    <w:rsid w:val="006739F4"/>
    <w:rsid w:val="006810DA"/>
    <w:rsid w:val="00683E41"/>
    <w:rsid w:val="006A027B"/>
    <w:rsid w:val="006A1CF7"/>
    <w:rsid w:val="006A22F4"/>
    <w:rsid w:val="006B048E"/>
    <w:rsid w:val="006B53A7"/>
    <w:rsid w:val="006C3890"/>
    <w:rsid w:val="006C4600"/>
    <w:rsid w:val="006C481E"/>
    <w:rsid w:val="006E32AC"/>
    <w:rsid w:val="006E3BF2"/>
    <w:rsid w:val="006F191C"/>
    <w:rsid w:val="007127E8"/>
    <w:rsid w:val="00725B00"/>
    <w:rsid w:val="007271B4"/>
    <w:rsid w:val="00740D23"/>
    <w:rsid w:val="007535D0"/>
    <w:rsid w:val="00762FA8"/>
    <w:rsid w:val="007813F2"/>
    <w:rsid w:val="0078651F"/>
    <w:rsid w:val="007C5A20"/>
    <w:rsid w:val="007D4388"/>
    <w:rsid w:val="007E2AB2"/>
    <w:rsid w:val="007E42F2"/>
    <w:rsid w:val="007E77B7"/>
    <w:rsid w:val="00801E75"/>
    <w:rsid w:val="008041EC"/>
    <w:rsid w:val="00804976"/>
    <w:rsid w:val="00807EC0"/>
    <w:rsid w:val="0081051C"/>
    <w:rsid w:val="00815CB9"/>
    <w:rsid w:val="008212FB"/>
    <w:rsid w:val="00826491"/>
    <w:rsid w:val="00841CCD"/>
    <w:rsid w:val="0084327C"/>
    <w:rsid w:val="0085394C"/>
    <w:rsid w:val="00857495"/>
    <w:rsid w:val="0086363B"/>
    <w:rsid w:val="00865B1A"/>
    <w:rsid w:val="00887688"/>
    <w:rsid w:val="008A13F7"/>
    <w:rsid w:val="008A4997"/>
    <w:rsid w:val="008B77F8"/>
    <w:rsid w:val="008C121A"/>
    <w:rsid w:val="008D3691"/>
    <w:rsid w:val="008D54AD"/>
    <w:rsid w:val="008D588D"/>
    <w:rsid w:val="008E48A2"/>
    <w:rsid w:val="008F54A9"/>
    <w:rsid w:val="00906CF1"/>
    <w:rsid w:val="00912F6F"/>
    <w:rsid w:val="009233E9"/>
    <w:rsid w:val="00930BDF"/>
    <w:rsid w:val="00933931"/>
    <w:rsid w:val="0094020B"/>
    <w:rsid w:val="00944544"/>
    <w:rsid w:val="00950975"/>
    <w:rsid w:val="00962575"/>
    <w:rsid w:val="00962ED1"/>
    <w:rsid w:val="00963C8B"/>
    <w:rsid w:val="0097362E"/>
    <w:rsid w:val="00975104"/>
    <w:rsid w:val="00986C8D"/>
    <w:rsid w:val="00986FB4"/>
    <w:rsid w:val="0099248A"/>
    <w:rsid w:val="00994806"/>
    <w:rsid w:val="00996106"/>
    <w:rsid w:val="009A35CE"/>
    <w:rsid w:val="009A3B6A"/>
    <w:rsid w:val="009B2410"/>
    <w:rsid w:val="009B6A6E"/>
    <w:rsid w:val="009C573B"/>
    <w:rsid w:val="009C6FBF"/>
    <w:rsid w:val="009D1D46"/>
    <w:rsid w:val="009E6B68"/>
    <w:rsid w:val="00A056F5"/>
    <w:rsid w:val="00A146F7"/>
    <w:rsid w:val="00A16670"/>
    <w:rsid w:val="00A21610"/>
    <w:rsid w:val="00A27603"/>
    <w:rsid w:val="00A30445"/>
    <w:rsid w:val="00A34877"/>
    <w:rsid w:val="00A34D15"/>
    <w:rsid w:val="00A36DD6"/>
    <w:rsid w:val="00A37790"/>
    <w:rsid w:val="00A44A93"/>
    <w:rsid w:val="00A4768A"/>
    <w:rsid w:val="00A5002B"/>
    <w:rsid w:val="00A518EE"/>
    <w:rsid w:val="00A65B63"/>
    <w:rsid w:val="00A7176B"/>
    <w:rsid w:val="00A91FA9"/>
    <w:rsid w:val="00AB1D8B"/>
    <w:rsid w:val="00AB3EF9"/>
    <w:rsid w:val="00AC5188"/>
    <w:rsid w:val="00AD6878"/>
    <w:rsid w:val="00AE0F94"/>
    <w:rsid w:val="00AF32D3"/>
    <w:rsid w:val="00AF45CF"/>
    <w:rsid w:val="00AF4FD8"/>
    <w:rsid w:val="00B04352"/>
    <w:rsid w:val="00B15573"/>
    <w:rsid w:val="00B25E8C"/>
    <w:rsid w:val="00B27187"/>
    <w:rsid w:val="00B47F18"/>
    <w:rsid w:val="00B53A13"/>
    <w:rsid w:val="00B616BA"/>
    <w:rsid w:val="00B714C1"/>
    <w:rsid w:val="00B762B5"/>
    <w:rsid w:val="00B80CAF"/>
    <w:rsid w:val="00B94F9B"/>
    <w:rsid w:val="00BA1694"/>
    <w:rsid w:val="00BA5EA9"/>
    <w:rsid w:val="00BC0421"/>
    <w:rsid w:val="00BC6E57"/>
    <w:rsid w:val="00BD6947"/>
    <w:rsid w:val="00BE0184"/>
    <w:rsid w:val="00BE528E"/>
    <w:rsid w:val="00BF2CDF"/>
    <w:rsid w:val="00BF4B92"/>
    <w:rsid w:val="00BF521B"/>
    <w:rsid w:val="00C030FC"/>
    <w:rsid w:val="00C10A50"/>
    <w:rsid w:val="00C130F7"/>
    <w:rsid w:val="00C17DB9"/>
    <w:rsid w:val="00C2576C"/>
    <w:rsid w:val="00C303AF"/>
    <w:rsid w:val="00C30FAB"/>
    <w:rsid w:val="00C34194"/>
    <w:rsid w:val="00C6613B"/>
    <w:rsid w:val="00C81DFF"/>
    <w:rsid w:val="00C877C2"/>
    <w:rsid w:val="00C91C4C"/>
    <w:rsid w:val="00C95452"/>
    <w:rsid w:val="00C96C03"/>
    <w:rsid w:val="00C9778C"/>
    <w:rsid w:val="00CA11BB"/>
    <w:rsid w:val="00CA306A"/>
    <w:rsid w:val="00CA6CAA"/>
    <w:rsid w:val="00CB2BCC"/>
    <w:rsid w:val="00CB4033"/>
    <w:rsid w:val="00CB6532"/>
    <w:rsid w:val="00CB7DFC"/>
    <w:rsid w:val="00CC0901"/>
    <w:rsid w:val="00CC7723"/>
    <w:rsid w:val="00CD04D8"/>
    <w:rsid w:val="00CE1C5C"/>
    <w:rsid w:val="00CF330F"/>
    <w:rsid w:val="00CF33AC"/>
    <w:rsid w:val="00D00835"/>
    <w:rsid w:val="00D01CAC"/>
    <w:rsid w:val="00D40F15"/>
    <w:rsid w:val="00D4466A"/>
    <w:rsid w:val="00D944D5"/>
    <w:rsid w:val="00DA09FC"/>
    <w:rsid w:val="00DC3653"/>
    <w:rsid w:val="00DC4D21"/>
    <w:rsid w:val="00DD3C40"/>
    <w:rsid w:val="00DD51D5"/>
    <w:rsid w:val="00DE61D3"/>
    <w:rsid w:val="00DF25A9"/>
    <w:rsid w:val="00DF4A37"/>
    <w:rsid w:val="00E12DA1"/>
    <w:rsid w:val="00E25D7E"/>
    <w:rsid w:val="00E271F5"/>
    <w:rsid w:val="00E305AB"/>
    <w:rsid w:val="00E400AB"/>
    <w:rsid w:val="00E43118"/>
    <w:rsid w:val="00E431F5"/>
    <w:rsid w:val="00E435BA"/>
    <w:rsid w:val="00E45EB8"/>
    <w:rsid w:val="00E530EC"/>
    <w:rsid w:val="00E6288E"/>
    <w:rsid w:val="00E679BE"/>
    <w:rsid w:val="00E76EC8"/>
    <w:rsid w:val="00E83AF1"/>
    <w:rsid w:val="00EA0A48"/>
    <w:rsid w:val="00EC319E"/>
    <w:rsid w:val="00ED0CD2"/>
    <w:rsid w:val="00ED235B"/>
    <w:rsid w:val="00ED74A7"/>
    <w:rsid w:val="00EE650D"/>
    <w:rsid w:val="00EF5216"/>
    <w:rsid w:val="00F016AA"/>
    <w:rsid w:val="00F16286"/>
    <w:rsid w:val="00F2282B"/>
    <w:rsid w:val="00F325CC"/>
    <w:rsid w:val="00F32A03"/>
    <w:rsid w:val="00F37BCC"/>
    <w:rsid w:val="00F439EE"/>
    <w:rsid w:val="00F4437D"/>
    <w:rsid w:val="00F45C6C"/>
    <w:rsid w:val="00F466C2"/>
    <w:rsid w:val="00F46C35"/>
    <w:rsid w:val="00F5457D"/>
    <w:rsid w:val="00F608E8"/>
    <w:rsid w:val="00F634CB"/>
    <w:rsid w:val="00F67263"/>
    <w:rsid w:val="00F7137A"/>
    <w:rsid w:val="00F71514"/>
    <w:rsid w:val="00F81F2A"/>
    <w:rsid w:val="00F90A91"/>
    <w:rsid w:val="00F9389C"/>
    <w:rsid w:val="00FA1D5E"/>
    <w:rsid w:val="00FB4AAA"/>
    <w:rsid w:val="00FB6EAE"/>
    <w:rsid w:val="00FC360C"/>
    <w:rsid w:val="00FE3BFD"/>
    <w:rsid w:val="00FF00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CC98555"/>
  <w15:docId w15:val="{B09547C9-26E4-4C9F-86E7-9B57E5C3F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931"/>
    <w:pPr>
      <w:jc w:val="both"/>
    </w:pPr>
    <w:rPr>
      <w:rFonts w:ascii="Arial" w:eastAsia="Times New Roman" w:hAnsi="Arial"/>
      <w:szCs w:val="24"/>
    </w:rPr>
  </w:style>
  <w:style w:type="paragraph" w:styleId="Ttulo1">
    <w:name w:val="heading 1"/>
    <w:basedOn w:val="Normal"/>
    <w:next w:val="Normal"/>
    <w:link w:val="Ttulo1Char"/>
    <w:uiPriority w:val="99"/>
    <w:qFormat/>
    <w:locked/>
    <w:rsid w:val="00054551"/>
    <w:pPr>
      <w:keepNext/>
      <w:spacing w:before="240" w:after="60"/>
      <w:outlineLvl w:val="0"/>
    </w:pPr>
    <w:rPr>
      <w:rFonts w:ascii="Cambria" w:eastAsia="Calibri" w:hAnsi="Cambria"/>
      <w:b/>
      <w:kern w:val="32"/>
      <w:sz w:val="32"/>
      <w:szCs w:val="20"/>
    </w:rPr>
  </w:style>
  <w:style w:type="paragraph" w:styleId="Ttulo2">
    <w:name w:val="heading 2"/>
    <w:basedOn w:val="nivel2"/>
    <w:next w:val="Normal"/>
    <w:link w:val="Ttulo2Char"/>
    <w:uiPriority w:val="99"/>
    <w:qFormat/>
    <w:locked/>
    <w:rsid w:val="00CA306A"/>
    <w:pPr>
      <w:outlineLvl w:val="1"/>
    </w:pPr>
  </w:style>
  <w:style w:type="paragraph" w:styleId="Ttulo3">
    <w:name w:val="heading 3"/>
    <w:basedOn w:val="nivel3"/>
    <w:next w:val="Normal"/>
    <w:link w:val="Ttulo3Char"/>
    <w:uiPriority w:val="99"/>
    <w:qFormat/>
    <w:locked/>
    <w:rsid w:val="00CA306A"/>
    <w:pPr>
      <w:outlineLvl w:val="2"/>
    </w:pPr>
  </w:style>
  <w:style w:type="paragraph" w:styleId="Ttulo4">
    <w:name w:val="heading 4"/>
    <w:basedOn w:val="Ttulo3"/>
    <w:next w:val="Normal"/>
    <w:link w:val="Ttulo4Char"/>
    <w:uiPriority w:val="99"/>
    <w:qFormat/>
    <w:locked/>
    <w:rsid w:val="00054551"/>
    <w:pPr>
      <w:numPr>
        <w:ilvl w:val="0"/>
        <w:numId w:val="4"/>
      </w:numPr>
      <w:outlineLvl w:val="3"/>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054551"/>
    <w:rPr>
      <w:rFonts w:ascii="Cambria" w:hAnsi="Cambria" w:cs="Times New Roman"/>
      <w:b/>
      <w:kern w:val="32"/>
      <w:sz w:val="32"/>
    </w:rPr>
  </w:style>
  <w:style w:type="character" w:customStyle="1" w:styleId="Ttulo2Char">
    <w:name w:val="Título 2 Char"/>
    <w:basedOn w:val="Fontepargpadro"/>
    <w:link w:val="Ttulo2"/>
    <w:uiPriority w:val="99"/>
    <w:locked/>
    <w:rsid w:val="00CA306A"/>
    <w:rPr>
      <w:rFonts w:ascii="Arial" w:hAnsi="Arial" w:cs="Times New Roman"/>
      <w:sz w:val="20"/>
    </w:rPr>
  </w:style>
  <w:style w:type="character" w:customStyle="1" w:styleId="Ttulo3Char">
    <w:name w:val="Título 3 Char"/>
    <w:basedOn w:val="Fontepargpadro"/>
    <w:link w:val="Ttulo3"/>
    <w:uiPriority w:val="99"/>
    <w:locked/>
    <w:rsid w:val="00CA306A"/>
    <w:rPr>
      <w:rFonts w:ascii="Arial" w:hAnsi="Arial" w:cs="Times New Roman"/>
      <w:sz w:val="20"/>
    </w:rPr>
  </w:style>
  <w:style w:type="character" w:customStyle="1" w:styleId="Ttulo4Char">
    <w:name w:val="Título 4 Char"/>
    <w:basedOn w:val="Fontepargpadro"/>
    <w:link w:val="Ttulo4"/>
    <w:uiPriority w:val="99"/>
    <w:locked/>
    <w:rsid w:val="00054551"/>
    <w:rPr>
      <w:rFonts w:ascii="Arial" w:hAnsi="Arial" w:cs="Times New Roman"/>
      <w:sz w:val="20"/>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uiPriority w:val="99"/>
    <w:rsid w:val="00933931"/>
    <w:pPr>
      <w:spacing w:before="120" w:after="120"/>
    </w:pPr>
  </w:style>
  <w:style w:type="character" w:customStyle="1" w:styleId="nivel2Char">
    <w:name w:val="nivel 2 Char"/>
    <w:link w:val="nivel2"/>
    <w:uiPriority w:val="99"/>
    <w:locked/>
    <w:rsid w:val="00933931"/>
    <w:rPr>
      <w:rFonts w:ascii="Arial" w:hAnsi="Arial"/>
      <w:sz w:val="20"/>
    </w:rPr>
  </w:style>
  <w:style w:type="character" w:customStyle="1" w:styleId="nivel3Char">
    <w:name w:val="nivel 3 Char"/>
    <w:link w:val="nivel3"/>
    <w:uiPriority w:val="99"/>
    <w:locked/>
    <w:rsid w:val="00933931"/>
    <w:rPr>
      <w:rFonts w:ascii="Arial" w:hAnsi="Arial"/>
      <w:sz w:val="20"/>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basedOn w:val="Fontepargpadro"/>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sz w:val="20"/>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basedOn w:val="Fontepargpadro"/>
    <w:link w:val="Textodecomentrio"/>
    <w:uiPriority w:val="99"/>
    <w:semiHidden/>
    <w:locked/>
    <w:rsid w:val="006C3890"/>
    <w:rPr>
      <w:rFonts w:ascii="Arial" w:hAnsi="Arial" w:cs="Times New Roman"/>
      <w:sz w:val="20"/>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basedOn w:val="Fontepargpadro"/>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basedOn w:val="Fontepargpadro"/>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semiHidden/>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basedOn w:val="Fontepargpadro"/>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basedOn w:val="Fontepargpadro"/>
    <w:link w:val="Cabealho"/>
    <w:uiPriority w:val="99"/>
    <w:semiHidden/>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basedOn w:val="Fontepargpadro"/>
    <w:link w:val="Rodap"/>
    <w:uiPriority w:val="99"/>
    <w:semiHidden/>
    <w:locked/>
    <w:rsid w:val="00F7137A"/>
    <w:rPr>
      <w:rFonts w:ascii="Arial" w:hAnsi="Arial" w:cs="Times New Roman"/>
      <w:sz w:val="24"/>
    </w:rPr>
  </w:style>
  <w:style w:type="character" w:styleId="Nmerodepgina">
    <w:name w:val="page number"/>
    <w:basedOn w:val="Fontepargpadro"/>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basedOn w:val="Fontepargpadro"/>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5"/>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basedOn w:val="Fontepargpadro"/>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basedOn w:val="Fontepargpadro"/>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99"/>
    <w:locked/>
    <w:rsid w:val="00516029"/>
    <w:pPr>
      <w:ind w:left="440"/>
    </w:pPr>
  </w:style>
  <w:style w:type="paragraph" w:styleId="Sumrio2">
    <w:name w:val="toc 2"/>
    <w:basedOn w:val="Normal"/>
    <w:next w:val="Normal"/>
    <w:uiPriority w:val="99"/>
    <w:locked/>
    <w:rsid w:val="007535D0"/>
  </w:style>
  <w:style w:type="paragraph" w:styleId="Sumrio1">
    <w:name w:val="toc 1"/>
    <w:basedOn w:val="Normal"/>
    <w:next w:val="Normal"/>
    <w:autoRedefine/>
    <w:uiPriority w:val="99"/>
    <w:locked/>
    <w:rsid w:val="004440B8"/>
    <w:pPr>
      <w:tabs>
        <w:tab w:val="left" w:pos="540"/>
        <w:tab w:val="right" w:leader="dot" w:pos="8494"/>
      </w:tabs>
      <w:spacing w:after="100"/>
      <w:jc w:val="left"/>
    </w:pPr>
    <w:rPr>
      <w:rFonts w:ascii="Calibri" w:hAnsi="Calibri"/>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29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t.wikipedia.org/wiki/Cilindro" TargetMode="External"/><Relationship Id="rId13" Type="http://schemas.openxmlformats.org/officeDocument/2006/relationships/hyperlink" Target="http://pt.wikipedia.org/wiki/Massa" TargetMode="External"/><Relationship Id="rId18" Type="http://schemas.openxmlformats.org/officeDocument/2006/relationships/hyperlink" Target="http://pt.wikipedia.org/wiki/Ensaio"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dec.ufms.br/lade/docs/LADEsys.exe" TargetMode="External"/><Relationship Id="rId12" Type="http://schemas.openxmlformats.org/officeDocument/2006/relationships/hyperlink" Target="http://pt.wikipedia.org/wiki/Martelo" TargetMode="External"/><Relationship Id="rId17" Type="http://schemas.openxmlformats.org/officeDocument/2006/relationships/hyperlink" Target="http://pt.wikipedia.org/wiki/Cm" TargetMode="External"/><Relationship Id="rId2" Type="http://schemas.openxmlformats.org/officeDocument/2006/relationships/styles" Target="styles.xml"/><Relationship Id="rId16" Type="http://schemas.openxmlformats.org/officeDocument/2006/relationships/hyperlink" Target="http://pt.wikipedia.org/wiki/Altura" TargetMode="External"/><Relationship Id="rId20" Type="http://schemas.openxmlformats.org/officeDocument/2006/relationships/hyperlink" Target="http://pt.wikipedia.org/wiki/Classifica%C3%A7%C3%A3o_t%C3%A1til-visu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t.wikipedia.org/wiki/Barrilet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t.wikipedia.org/wiki/Queda_livre" TargetMode="External"/><Relationship Id="rId23" Type="http://schemas.openxmlformats.org/officeDocument/2006/relationships/fontTable" Target="fontTable.xml"/><Relationship Id="rId10" Type="http://schemas.openxmlformats.org/officeDocument/2006/relationships/hyperlink" Target="http://pt.wikipedia.org/wiki/Padr%C3%A3o" TargetMode="External"/><Relationship Id="rId19" Type="http://schemas.openxmlformats.org/officeDocument/2006/relationships/hyperlink" Target="http://pt.wikipedia.org/wiki/Amostra" TargetMode="External"/><Relationship Id="rId4" Type="http://schemas.openxmlformats.org/officeDocument/2006/relationships/webSettings" Target="webSettings.xml"/><Relationship Id="rId9" Type="http://schemas.openxmlformats.org/officeDocument/2006/relationships/hyperlink" Target="http://pt.wikipedia.org/wiki/Amostragem" TargetMode="External"/><Relationship Id="rId14" Type="http://schemas.openxmlformats.org/officeDocument/2006/relationships/hyperlink" Target="http://pt.wikipedia.org/wiki/K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9722</Words>
  <Characters>54559</Characters>
  <Application>Microsoft Office Word</Application>
  <DocSecurity>0</DocSecurity>
  <Lines>454</Lines>
  <Paragraphs>128</Paragraphs>
  <ScaleCrop>false</ScaleCrop>
  <Company>Caixa Economica Federal</Company>
  <LinksUpToDate>false</LinksUpToDate>
  <CharactersWithSpaces>64153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 - APÊNDICE B</dc:title>
  <dc:subject/>
  <dc:creator>Usuario CAIXA</dc:creator>
  <cp:keywords/>
  <dc:description/>
  <cp:lastModifiedBy>DAVID VELOSO SOARES</cp:lastModifiedBy>
  <cp:revision>4</cp:revision>
  <dcterms:created xsi:type="dcterms:W3CDTF">2017-03-23T15:07:00Z</dcterms:created>
  <dcterms:modified xsi:type="dcterms:W3CDTF">2022-06-10T18:35:00Z</dcterms:modified>
</cp:coreProperties>
</file>